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F11" w:rsidRDefault="00B67F11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67F11" w:rsidRDefault="00B67F11">
      <w:pPr>
        <w:pStyle w:val="ConsPlusNormal"/>
        <w:ind w:firstLine="540"/>
        <w:jc w:val="both"/>
        <w:outlineLvl w:val="0"/>
      </w:pPr>
    </w:p>
    <w:p w:rsidR="00B67F11" w:rsidRDefault="00B67F11">
      <w:pPr>
        <w:pStyle w:val="ConsPlusNormal"/>
        <w:outlineLvl w:val="0"/>
      </w:pPr>
      <w:r>
        <w:t>Зарегистрировано в Минюсте России 14 декабря 2020 г. N 61439</w:t>
      </w:r>
    </w:p>
    <w:p w:rsidR="00B67F11" w:rsidRDefault="00B67F1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Title"/>
        <w:jc w:val="center"/>
      </w:pPr>
      <w:r>
        <w:t>МИНИСТЕРСТВО СТРОИТЕЛЬСТВА И ЖИЛИЩНО-КОММУНАЛЬНОГО</w:t>
      </w:r>
    </w:p>
    <w:p w:rsidR="00B67F11" w:rsidRDefault="00B67F11">
      <w:pPr>
        <w:pStyle w:val="ConsPlusTitle"/>
        <w:jc w:val="center"/>
      </w:pPr>
      <w:r>
        <w:t>ХОЗЯЙСТВА РОССИЙСКОЙ ФЕДЕРАЦИИ</w:t>
      </w:r>
    </w:p>
    <w:p w:rsidR="00B67F11" w:rsidRDefault="00B67F11">
      <w:pPr>
        <w:pStyle w:val="ConsPlusTitle"/>
        <w:jc w:val="center"/>
      </w:pPr>
    </w:p>
    <w:p w:rsidR="00B67F11" w:rsidRDefault="00B67F11">
      <w:pPr>
        <w:pStyle w:val="ConsPlusTitle"/>
        <w:jc w:val="center"/>
      </w:pPr>
      <w:r>
        <w:t>ПРИКАЗ</w:t>
      </w:r>
    </w:p>
    <w:p w:rsidR="00B67F11" w:rsidRDefault="00B67F11">
      <w:pPr>
        <w:pStyle w:val="ConsPlusTitle"/>
        <w:jc w:val="center"/>
      </w:pPr>
      <w:r>
        <w:t>от 28 октября 2020 г. N 651/пр</w:t>
      </w:r>
    </w:p>
    <w:p w:rsidR="00B67F11" w:rsidRDefault="00B67F11">
      <w:pPr>
        <w:pStyle w:val="ConsPlusTitle"/>
        <w:jc w:val="center"/>
      </w:pPr>
    </w:p>
    <w:p w:rsidR="00B67F11" w:rsidRDefault="00B67F11">
      <w:pPr>
        <w:pStyle w:val="ConsPlusTitle"/>
        <w:jc w:val="center"/>
      </w:pPr>
      <w:r>
        <w:t>ОБ УТВЕРЖДЕНИИ ПОРЯДКА</w:t>
      </w:r>
    </w:p>
    <w:p w:rsidR="00B67F11" w:rsidRDefault="00B67F11">
      <w:pPr>
        <w:pStyle w:val="ConsPlusTitle"/>
        <w:jc w:val="center"/>
      </w:pPr>
      <w:r>
        <w:t>ФОРМИРОВАНИЯ И ВЕДЕНИЯ КЛАССИФИКАТОРА СТРОИТЕЛЬНЫХ РЕСУРСОВ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7.13 части 1 статьи 6</w:t>
        </w:r>
      </w:hyperlink>
      <w:r>
        <w:t xml:space="preserve">, </w:t>
      </w:r>
      <w:hyperlink r:id="rId6">
        <w:r>
          <w:rPr>
            <w:color w:val="0000FF"/>
          </w:rPr>
          <w:t>частью 10 статьи 8.3</w:t>
        </w:r>
      </w:hyperlink>
      <w:r>
        <w:t xml:space="preserve"> Градостроительного кодекса Российской Федерации (Собрание законодательства Российской Федерации, 2005, N 1, ст. 16; 2020, N 31, ст. 5023) и </w:t>
      </w:r>
      <w:hyperlink r:id="rId7">
        <w:r>
          <w:rPr>
            <w:color w:val="0000FF"/>
          </w:rPr>
          <w:t>подпунктом 5.2.12(3) пункта 5</w:t>
        </w:r>
      </w:hyperlink>
      <w: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6117; Официальный интернет-портал правовой информации http://www.pravo.gov.ru, 22 октября 2020 г., N 0001202010220001), приказываю: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9">
        <w:r>
          <w:rPr>
            <w:color w:val="0000FF"/>
          </w:rPr>
          <w:t>Порядок</w:t>
        </w:r>
      </w:hyperlink>
      <w:r>
        <w:t xml:space="preserve"> формирования и ведения </w:t>
      </w:r>
      <w:hyperlink r:id="rId8">
        <w:r>
          <w:rPr>
            <w:color w:val="0000FF"/>
          </w:rPr>
          <w:t>классификатора</w:t>
        </w:r>
      </w:hyperlink>
      <w:r>
        <w:t xml:space="preserve"> строительных ресурсов.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jc w:val="right"/>
      </w:pPr>
      <w:r>
        <w:t>Министр</w:t>
      </w:r>
    </w:p>
    <w:p w:rsidR="00B67F11" w:rsidRDefault="00B67F11">
      <w:pPr>
        <w:pStyle w:val="ConsPlusNormal"/>
        <w:jc w:val="right"/>
      </w:pPr>
      <w:r>
        <w:t>В.В.ЯКУШЕВ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jc w:val="right"/>
        <w:outlineLvl w:val="0"/>
      </w:pPr>
      <w:r>
        <w:t>Утвержден</w:t>
      </w:r>
    </w:p>
    <w:p w:rsidR="00B67F11" w:rsidRDefault="00B67F11">
      <w:pPr>
        <w:pStyle w:val="ConsPlusNormal"/>
        <w:jc w:val="right"/>
      </w:pPr>
      <w:r>
        <w:t>приказом Министерства строительства</w:t>
      </w:r>
    </w:p>
    <w:p w:rsidR="00B67F11" w:rsidRDefault="00B67F11">
      <w:pPr>
        <w:pStyle w:val="ConsPlusNormal"/>
        <w:jc w:val="right"/>
      </w:pPr>
      <w:r>
        <w:t>и жилищно-коммунального хозяйства</w:t>
      </w:r>
    </w:p>
    <w:p w:rsidR="00B67F11" w:rsidRDefault="00B67F11">
      <w:pPr>
        <w:pStyle w:val="ConsPlusNormal"/>
        <w:jc w:val="right"/>
      </w:pPr>
      <w:r>
        <w:t>Российской Федерации</w:t>
      </w:r>
    </w:p>
    <w:p w:rsidR="00B67F11" w:rsidRDefault="00B67F11">
      <w:pPr>
        <w:pStyle w:val="ConsPlusNormal"/>
        <w:jc w:val="right"/>
      </w:pPr>
      <w:r>
        <w:t>от 28 октября 2020 г. N 651/пр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Title"/>
        <w:jc w:val="center"/>
      </w:pPr>
      <w:bookmarkStart w:id="1" w:name="P29"/>
      <w:bookmarkEnd w:id="1"/>
      <w:r>
        <w:t>ПОРЯДОК</w:t>
      </w:r>
    </w:p>
    <w:p w:rsidR="00B67F11" w:rsidRDefault="00B67F11">
      <w:pPr>
        <w:pStyle w:val="ConsPlusTitle"/>
        <w:jc w:val="center"/>
      </w:pPr>
      <w:r>
        <w:t>ФОРМИРОВАНИЯ И ВЕДЕНИЯ КЛАССИФИКАТОРА</w:t>
      </w:r>
    </w:p>
    <w:p w:rsidR="00B67F11" w:rsidRDefault="00B67F11">
      <w:pPr>
        <w:pStyle w:val="ConsPlusTitle"/>
        <w:jc w:val="center"/>
      </w:pPr>
      <w:r>
        <w:t>СТРОИТЕЛЬНЫХ РЕСУРСОВ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Title"/>
        <w:jc w:val="center"/>
        <w:outlineLvl w:val="1"/>
      </w:pPr>
      <w:r>
        <w:t>I. Общие положения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  <w:r>
        <w:t xml:space="preserve">1. Формирование и ведение </w:t>
      </w:r>
      <w:hyperlink r:id="rId9">
        <w:r>
          <w:rPr>
            <w:color w:val="0000FF"/>
          </w:rPr>
          <w:t>классификатора</w:t>
        </w:r>
      </w:hyperlink>
      <w:r>
        <w:t xml:space="preserve"> строительных ресурсов (далее - Классификатор) осуществляется: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2" w:name="P36"/>
      <w:bookmarkEnd w:id="2"/>
      <w:r>
        <w:t xml:space="preserve">а) по результатам рассмотрения поступивших в Министерство строительства и жилищно-коммунального хозяйства Российской Федерации (далее - Министерство) заявок юридических лиц и индивидуальных предпринимателей, включенных в перечень юридических лиц и индивидуальных предпринимателей, предоставляющих информацию, необходимую для формирования сметных цен строительных ресурсов и расчета индексов изменения сметной стоимости строительства, указанный в </w:t>
      </w:r>
      <w:hyperlink r:id="rId10">
        <w:r>
          <w:rPr>
            <w:color w:val="0000FF"/>
          </w:rPr>
          <w:t>пункте 10</w:t>
        </w:r>
      </w:hyperlink>
      <w:r>
        <w:t xml:space="preserve"> Правил мониторинга цен строительных ресурсов, </w:t>
      </w:r>
      <w:r>
        <w:lastRenderedPageBreak/>
        <w:t xml:space="preserve">утвержденных постановлением Правительства Российской Федерации от 23 декабря 2016 г. N 1452 (Собрание законодательства Российской Федерации, 2017, N 1, ст. 184; 2019, N 21, ст. 2566), на включение в </w:t>
      </w:r>
      <w:hyperlink r:id="rId11">
        <w:r>
          <w:rPr>
            <w:color w:val="0000FF"/>
          </w:rPr>
          <w:t>Классификатор</w:t>
        </w:r>
      </w:hyperlink>
      <w:r>
        <w:t>, актуализацию в Классификаторе или исключение из Классификатора строительного ресурса (далее соответственно - заявка, заявитель, Перечень лиц, Правила мониторинга) и на основании заключений государственного учреждения, подведомственного Министерству (далее - Учреждение), о наличии (отсутствии) сметного норматива, сведения о котором включены в федеральный реестр сметных нормативов, предусматривающего использование строительного ресурса.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В случаях, предусмотренных </w:t>
      </w:r>
      <w:hyperlink r:id="rId12">
        <w:r>
          <w:rPr>
            <w:color w:val="0000FF"/>
          </w:rPr>
          <w:t>пунктом 41</w:t>
        </w:r>
      </w:hyperlink>
      <w:r>
        <w:t xml:space="preserve"> Методики разработки и применения укрупненных нормативов цены строительства, а также порядка их утверждения, утвержденной приказом Министерства строительства и жилищно-коммунального хозяйства Российской Федерации от 29 мая 2019 г. N 314/пр (зарегистрирован Министерством юстиции Российской Федерации 30 декабря 2019 г., регистрационный N 57064), </w:t>
      </w:r>
      <w:hyperlink r:id="rId13">
        <w:r>
          <w:rPr>
            <w:color w:val="0000FF"/>
          </w:rPr>
          <w:t>пунктом 98</w:t>
        </w:r>
      </w:hyperlink>
      <w:r>
        <w:t xml:space="preserve">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N 326/пр (зарегистрирован Министерством юстиции Российской Федерации 10 сентября 2019 г., регистрационный N 55869) (далее соответственно - Методика N 314/пр и Методика N 326/пр), заявителями являются федеральные органы исполнительной власти, органы исполнительной власти субъектов Российской Федерации, а также юридические лица, не включенные в Перечень лиц;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3" w:name="P38"/>
      <w:bookmarkEnd w:id="3"/>
      <w:r>
        <w:t xml:space="preserve">б) на основании заключений Учреждения о целесообразности включения в </w:t>
      </w:r>
      <w:hyperlink r:id="rId14">
        <w:r>
          <w:rPr>
            <w:color w:val="0000FF"/>
          </w:rPr>
          <w:t>Классификатор</w:t>
        </w:r>
      </w:hyperlink>
      <w:r>
        <w:t xml:space="preserve">, актуализации в Классификаторе строительного ресурса (далее - заключение о целесообразности включения, актуализации строительного ресурса) по результатам рассмотрения представленных федеральными органами исполнительной власти, органами исполнительной власти субъектов Российской Федерации, органами местного самоуправления, юридическими лицами и индивидуальными предпринимателями документов, предусмотренных </w:t>
      </w:r>
      <w:hyperlink r:id="rId15">
        <w:r>
          <w:rPr>
            <w:color w:val="0000FF"/>
          </w:rPr>
          <w:t>пунктом 27</w:t>
        </w:r>
      </w:hyperlink>
      <w:r>
        <w:t xml:space="preserve"> Порядка утверждения сметных нормативов, утвержденного приказом Министерства строительства и жилищно-коммунального хозяйства Российской Федерации от 13 января 2020 г. N 2/пр (зарегистрирован Министерством юстиции Российской Федерации 18 февраля 2020 г., регистрационный N 57527) (далее - Порядок утверждения сметных нормативов);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в) по решению Министерства при наличии оснований, предусмотренных </w:t>
      </w:r>
      <w:hyperlink w:anchor="P138">
        <w:r>
          <w:rPr>
            <w:color w:val="0000FF"/>
          </w:rPr>
          <w:t>пунктом 27</w:t>
        </w:r>
      </w:hyperlink>
      <w:r>
        <w:t xml:space="preserve"> настоящего Порядка.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2. </w:t>
      </w:r>
      <w:hyperlink r:id="rId16">
        <w:r>
          <w:rPr>
            <w:color w:val="0000FF"/>
          </w:rPr>
          <w:t>Классификатор</w:t>
        </w:r>
      </w:hyperlink>
      <w:r>
        <w:t xml:space="preserve"> формируется, ведется и размещается в федеральной государственной информационной системе ценообразования в строительстве, является открытым и общедоступным для круглосуточного ознакомления и использования без взимания платы.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3. </w:t>
      </w:r>
      <w:hyperlink r:id="rId17">
        <w:r>
          <w:rPr>
            <w:color w:val="0000FF"/>
          </w:rPr>
          <w:t>Классификатор</w:t>
        </w:r>
      </w:hyperlink>
      <w:r>
        <w:t xml:space="preserve"> не содержит сведения, составляющие государственную тайну.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4. </w:t>
      </w:r>
      <w:hyperlink r:id="rId18">
        <w:r>
          <w:rPr>
            <w:color w:val="0000FF"/>
          </w:rPr>
          <w:t>Классификатор</w:t>
        </w:r>
      </w:hyperlink>
      <w:r>
        <w:t xml:space="preserve"> формируется и ведется на русском языке. В случаях, предусмотренных федеральными законами и принимаемыми в соответствии с ними нормативными правовыми актами, информация может включаться в </w:t>
      </w:r>
      <w:hyperlink r:id="rId19">
        <w:r>
          <w:rPr>
            <w:color w:val="0000FF"/>
          </w:rPr>
          <w:t>Классификатор</w:t>
        </w:r>
      </w:hyperlink>
      <w:r>
        <w:t xml:space="preserve"> с использованием букв латинского алфавита.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5. При формировании </w:t>
      </w:r>
      <w:hyperlink r:id="rId20">
        <w:r>
          <w:rPr>
            <w:color w:val="0000FF"/>
          </w:rPr>
          <w:t>Классификатора</w:t>
        </w:r>
      </w:hyperlink>
      <w:r>
        <w:t xml:space="preserve"> строительные ресурсы распределяются по книгам, частям, разделам, группам.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6. Позиция </w:t>
      </w:r>
      <w:hyperlink r:id="rId21">
        <w:r>
          <w:rPr>
            <w:color w:val="0000FF"/>
          </w:rPr>
          <w:t>Классификатора</w:t>
        </w:r>
      </w:hyperlink>
      <w:r>
        <w:t xml:space="preserve"> содержит следующую информацию: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а) код строительного ресурса, состоящий из кода Общероссийского </w:t>
      </w:r>
      <w:hyperlink r:id="rId22">
        <w:r>
          <w:rPr>
            <w:color w:val="0000FF"/>
          </w:rPr>
          <w:t>классификатора</w:t>
        </w:r>
      </w:hyperlink>
      <w:r>
        <w:t xml:space="preserve"> продукции по видам экономической деятельности ОК 034-2014 (КПЕС 2008), размещенного на официальном сайте Федерального агентства по техническому регулированию и метрологии в информационно-телекоммуникационной сети "Интернет" по адресу: https://www.rst.gov.ru/ (далее </w:t>
      </w:r>
      <w:r>
        <w:lastRenderedPageBreak/>
        <w:t xml:space="preserve">- ОКПД 2 (КПЕС 2008) &lt;1&gt; и кода, сформированного Министерством с учетом расположения строительного ресурса в книге, части, разделе, группе </w:t>
      </w:r>
      <w:hyperlink r:id="rId23">
        <w:r>
          <w:rPr>
            <w:color w:val="0000FF"/>
          </w:rPr>
          <w:t>Классификатора</w:t>
        </w:r>
      </w:hyperlink>
      <w:r>
        <w:t xml:space="preserve"> соответственно;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&lt;1&gt; Утвержден </w:t>
      </w:r>
      <w:hyperlink r:id="rId24">
        <w:r>
          <w:rPr>
            <w:color w:val="0000FF"/>
          </w:rPr>
          <w:t>приказом</w:t>
        </w:r>
      </w:hyperlink>
      <w:r>
        <w:t xml:space="preserve"> Федерального агентства по техническому регулированию и метрологии от 31 января 2014 г. N 14-ст.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  <w:r>
        <w:t xml:space="preserve">б) наименование строительного ресурса, формируемое в соответствии с </w:t>
      </w:r>
      <w:hyperlink w:anchor="P54">
        <w:r>
          <w:rPr>
            <w:color w:val="0000FF"/>
          </w:rPr>
          <w:t>пунктом 7</w:t>
        </w:r>
      </w:hyperlink>
      <w:r>
        <w:t xml:space="preserve"> настоящего Порядка;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в) единица измерения строительного ресурса, указываемая согласно Общероссийскому </w:t>
      </w:r>
      <w:hyperlink r:id="rId25">
        <w:r>
          <w:rPr>
            <w:color w:val="0000FF"/>
          </w:rPr>
          <w:t>классификатору</w:t>
        </w:r>
      </w:hyperlink>
      <w:r>
        <w:t xml:space="preserve"> единиц измерения ОК 015-94 (МК 002-97) &lt;2&gt; (при наличии).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&lt;2&gt; Утвержден постановлением Госстандарта России от 26 декабря 1994 г. N 366 (М., ИПК Издательство стандартов, 1995).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  <w:bookmarkStart w:id="4" w:name="P54"/>
      <w:bookmarkEnd w:id="4"/>
      <w:r>
        <w:t>7. В наименование строительного ресурса включаются сведения о потребительских свойствах и иных характеристиках строительного ресурса, в том числе функциональных, технических, качественных, эксплуатационных (при необходимости), для однозначной идентификации строительного ресурса, сформированные с учетом следующих требований: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а) в случае если указанные характеристики имеют количественную оценку, то используются единицы измерения в соответствии с Общероссийским </w:t>
      </w:r>
      <w:hyperlink r:id="rId26">
        <w:r>
          <w:rPr>
            <w:color w:val="0000FF"/>
          </w:rPr>
          <w:t>классификатором</w:t>
        </w:r>
      </w:hyperlink>
      <w:r>
        <w:t xml:space="preserve"> единиц измерения ОК 015-94 (МК 002-97) (при наличии);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б) в отношении каждой характеристики, имеющей количественную оценку, указывается ее конкретное значение, исчерпывающий перечень конкретных значений, диапазоны допустимых значений (минимально либо максимально допустимые значения) или неизменяемые значения;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в) в отношении каждой характеристики, не имеющей количественной оценки, указывается исчерпывающий перечень свойств строительного ресурса, необходимых для идентификации строительных ресурсов в </w:t>
      </w:r>
      <w:hyperlink r:id="rId27">
        <w:r>
          <w:rPr>
            <w:color w:val="0000FF"/>
          </w:rPr>
          <w:t>Классификаторе</w:t>
        </w:r>
      </w:hyperlink>
      <w:r>
        <w:t>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Не допускается включение в структуру наименования характеристик, указывающих на конкретного производителя, импортера или поставщика (наименование изготовителя, марки, выпускаемой конкретным производителем, технических характеристик, не предусмотренных действующей нормативно-технической документацией).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Title"/>
        <w:jc w:val="center"/>
        <w:outlineLvl w:val="1"/>
      </w:pPr>
      <w:r>
        <w:t xml:space="preserve">II. Направление заявок на включение в </w:t>
      </w:r>
      <w:hyperlink r:id="rId28">
        <w:r>
          <w:rPr>
            <w:color w:val="0000FF"/>
          </w:rPr>
          <w:t>Классификатор</w:t>
        </w:r>
      </w:hyperlink>
      <w:r>
        <w:t>,</w:t>
      </w:r>
    </w:p>
    <w:p w:rsidR="00B67F11" w:rsidRDefault="00B67F11">
      <w:pPr>
        <w:pStyle w:val="ConsPlusTitle"/>
        <w:jc w:val="center"/>
      </w:pPr>
      <w:r>
        <w:t>актуализацию в Классификаторе или исключение</w:t>
      </w:r>
    </w:p>
    <w:p w:rsidR="00B67F11" w:rsidRDefault="00B67F11">
      <w:pPr>
        <w:pStyle w:val="ConsPlusTitle"/>
        <w:jc w:val="center"/>
      </w:pPr>
      <w:r>
        <w:t>из Классификатора строительного ресурса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  <w:bookmarkStart w:id="5" w:name="P64"/>
      <w:bookmarkEnd w:id="5"/>
      <w:r>
        <w:t xml:space="preserve">8. Заявители в соответствии с </w:t>
      </w:r>
      <w:hyperlink w:anchor="P36">
        <w:r>
          <w:rPr>
            <w:color w:val="0000FF"/>
          </w:rPr>
          <w:t>подпунктом "а" пункта 1</w:t>
        </w:r>
      </w:hyperlink>
      <w:r>
        <w:t xml:space="preserve"> настоящего Порядка направляют на бумажном или электронном носителях в Министерство заявку на включение в </w:t>
      </w:r>
      <w:hyperlink r:id="rId29">
        <w:r>
          <w:rPr>
            <w:color w:val="0000FF"/>
          </w:rPr>
          <w:t>Классификатор</w:t>
        </w:r>
      </w:hyperlink>
      <w:r>
        <w:t xml:space="preserve">, актуализацию в Классификаторе или исключение из Классификатора строительного ресурса, с приложением материалов, указанных в </w:t>
      </w:r>
      <w:hyperlink w:anchor="P65">
        <w:r>
          <w:rPr>
            <w:color w:val="0000FF"/>
          </w:rPr>
          <w:t>пунктах 9</w:t>
        </w:r>
      </w:hyperlink>
      <w:r>
        <w:t xml:space="preserve"> - </w:t>
      </w:r>
      <w:hyperlink w:anchor="P101">
        <w:r>
          <w:rPr>
            <w:color w:val="0000FF"/>
          </w:rPr>
          <w:t>12</w:t>
        </w:r>
      </w:hyperlink>
      <w:r>
        <w:t xml:space="preserve"> настоящего Порядка (далее - материалы). Рекомендуемые образцы форм заявок на включение в </w:t>
      </w:r>
      <w:hyperlink r:id="rId30">
        <w:r>
          <w:rPr>
            <w:color w:val="0000FF"/>
          </w:rPr>
          <w:t>Классификатор</w:t>
        </w:r>
      </w:hyperlink>
      <w:r>
        <w:t xml:space="preserve">, актуализацию в Классификаторе или исключение из Классификатора строительного ресурса приведены в </w:t>
      </w:r>
      <w:hyperlink w:anchor="P150">
        <w:r>
          <w:rPr>
            <w:color w:val="0000FF"/>
          </w:rPr>
          <w:t>приложении</w:t>
        </w:r>
      </w:hyperlink>
      <w:r>
        <w:t xml:space="preserve"> к настоящему Порядку.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6" w:name="P65"/>
      <w:bookmarkEnd w:id="6"/>
      <w:r>
        <w:t xml:space="preserve">9. Материалы, прилагаемые к заявке на включение строительных материалов, изделий, конструкций, оборудования в </w:t>
      </w:r>
      <w:hyperlink r:id="rId31">
        <w:r>
          <w:rPr>
            <w:color w:val="0000FF"/>
          </w:rPr>
          <w:t>Классификатор</w:t>
        </w:r>
      </w:hyperlink>
      <w:r>
        <w:t>: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7" w:name="P66"/>
      <w:bookmarkEnd w:id="7"/>
      <w:r>
        <w:lastRenderedPageBreak/>
        <w:t xml:space="preserve">а) пояснительная записка, содержащая обоснование необходимости включения строительного ресурса в </w:t>
      </w:r>
      <w:hyperlink r:id="rId32">
        <w:r>
          <w:rPr>
            <w:color w:val="0000FF"/>
          </w:rPr>
          <w:t>Классификатор</w:t>
        </w:r>
      </w:hyperlink>
      <w:r>
        <w:t xml:space="preserve">, описание области(-ей) применения строительного ресурса, описание объекта(-ов) использования строительного ресурса, описание основных технических характеристик строительного ресурса, наименование нормативно-технической документации, предусмотренной Федеральным </w:t>
      </w:r>
      <w:hyperlink r:id="rId33">
        <w:r>
          <w:rPr>
            <w:color w:val="0000FF"/>
          </w:rPr>
          <w:t>законом</w:t>
        </w:r>
      </w:hyperlink>
      <w:r>
        <w:t xml:space="preserve"> от 29 июня 2015 г. N 162-ФЗ "О стандартизации в Российской Федерации" (Собрание законодательства Российской Федерации, 2015, N 27, ст. 3953; 2016, N 27, ст. 4229) (далее - нормативно-техническая документация), и (или) предварительного национального стандарта, стандартов организаций, технических условий и иную информацию, имеющую отношение, по мнению заявителя, к строительному ресурсу;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8" w:name="P67"/>
      <w:bookmarkEnd w:id="8"/>
      <w:r>
        <w:t>б) информация, характеризующая строительный ресурс: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код (9 знаков) и наименование </w:t>
      </w:r>
      <w:hyperlink r:id="rId34">
        <w:r>
          <w:rPr>
            <w:color w:val="0000FF"/>
          </w:rPr>
          <w:t>ОКПД 2 (КПЕС 2008)</w:t>
        </w:r>
      </w:hyperlink>
      <w:r>
        <w:t>, соответствующие виду экономической деятельности по производству материального ресурса, машины и (или) механизма;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наименование строительного ресурса, включающее потребительские свойства и иные характеристики строительного ресурса, в том числе функциональные, технические, качественные и эксплуатационные характеристики (при необходимости), для однозначной идентификации строительного ресурса, без указания на конкретного производителя (наименование изготовителя, марки, выпускаемой конкретным производителем, технических характеристик, не предусмотренных действующей нормативно-технической документацией);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сведения о юридическом лице или индивидуальном предпринимателе (с указанием соответственно наименования юридического лица, фамилии, имени и отчества (при наличии) индивидуального предпринимателя, организационно-правовой формы, ИНН, юридического адреса юридического лица, места жительства индивидуального предпринимателя, телефона, адреса электронной почты (при наличии), адреса сайта в информационно-телекоммуникационной сети "Интернет" (при наличии), осуществляющих деятельность по производству в Российской Федерации или поставке в Российскую Федерацию строительного ресурса либо оптовой торговле строительным ресурсом (далее - производитель, импортер, оптовый поставщик);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в) технические руководства (инструкции) по эксплуатации строительного ресурса, чертежи конструктивных решений с использованием строительного ресурса, описание технологии применения (монтажа, установки и прочее) строительного ресурса;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9" w:name="P72"/>
      <w:bookmarkEnd w:id="9"/>
      <w:r>
        <w:t>г) нормативно-техническая документация, предварительный национальный стандарт, стандарты организаций, технические условия;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10" w:name="P73"/>
      <w:bookmarkEnd w:id="10"/>
      <w:r>
        <w:t>д) отпускная цена (цена реализации) строительного ресурса (в том числе за единицу измерения) с приложением обоснования (прайс-лист, коммерческое предложение, счет-фактура и прочее);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е) документы о сертификации в соответствии с требованиями технических регламентов (при наличии);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11" w:name="P75"/>
      <w:bookmarkEnd w:id="11"/>
      <w:r>
        <w:t>ж) единица измерения строительного ресурса;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12" w:name="P76"/>
      <w:bookmarkEnd w:id="12"/>
      <w:r>
        <w:t xml:space="preserve">з) переходные ключи (сопоставительные таблицы) соответствия кодов </w:t>
      </w:r>
      <w:hyperlink r:id="rId35">
        <w:r>
          <w:rPr>
            <w:color w:val="0000FF"/>
          </w:rPr>
          <w:t>Классификатора</w:t>
        </w:r>
      </w:hyperlink>
      <w:r>
        <w:t xml:space="preserve"> позициям иных международных, российских и отраслевых систем классификации, справочников и каталогов (при наличии);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и) тип, наименование и реквизиты нормативно-технических документаций, в которых установлены требования к соответствующему строительному ресурсу;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к) технические параметры и (или) характеристики строительного ресурса, указанные по степени убывания значимости технического параметра и (или) характеристики;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lastRenderedPageBreak/>
        <w:t>л) марка, модель или модификация в соответствии с нормативно-технической документацией;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м) масса нетто и масса брутто строительного ресурса, указанная за единицу измерения;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н) вид перевозок строительного ресурса (указываются возможные и рекомендуемые виды перевозки);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о) класс груза строительного ресурса;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п) наименование основного технического параметра или характеристики строительного ресурса;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р) единица измерения основного технического параметра или характеристики строительного ресурса;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с) значение основного технического параметра или характеристики строительного ресурса.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10. Материалы, прилагаемые к заявке на включение машин и механизмов в </w:t>
      </w:r>
      <w:hyperlink r:id="rId36">
        <w:r>
          <w:rPr>
            <w:color w:val="0000FF"/>
          </w:rPr>
          <w:t>Классификатор</w:t>
        </w:r>
      </w:hyperlink>
      <w:r>
        <w:t>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а) материалы, предусмотренные </w:t>
      </w:r>
      <w:hyperlink w:anchor="P66">
        <w:r>
          <w:rPr>
            <w:color w:val="0000FF"/>
          </w:rPr>
          <w:t>подпунктами "а"</w:t>
        </w:r>
      </w:hyperlink>
      <w:r>
        <w:t xml:space="preserve"> - </w:t>
      </w:r>
      <w:hyperlink w:anchor="P76">
        <w:r>
          <w:rPr>
            <w:color w:val="0000FF"/>
          </w:rPr>
          <w:t>"з" пункта 9</w:t>
        </w:r>
      </w:hyperlink>
      <w:r>
        <w:t xml:space="preserve"> настоящего Порядка;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б) перечень основных узлов и агрегатов, составляющих машины и (или) механизмы;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в) марка базы и рабочего органа;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г) марка двигателя, отвечающего за рабочий орган машины и (или) механизма;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д) мощность двигателя, отвечающего за рабочий орган машины и (или) механизма (для двигателей внутреннего сгорания указывается в лошадиных силах, для электродвигателей - в кВт, при работе от сжатого воздуха - в куб. м);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е) расход энергоносителя (для двигателей внутреннего сгорания указывается в кг/ч, для электродвигателей - в кВт/ч, при работе от сжатого воздуха - в куб. м/ч);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ж) тип энергоносителя (например, дизельное топливо, бензин, электроэнергия, сжатый воздух);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з) объем гидравлической системы (указывается в литрах);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и) тарифный разряд или уровень квалификации машинистов (указывается в соответствии с единым тарифно-квалификационным справочником либо профессиональным стандартом в случае если машину и (или) механизм обслуживает более чем один машинист, тогда в отдельных графах указываются разряды по каждому машинисту);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к) габариты (в случае если машина и (или) механизм не габаритные, заявитель указывает параметры и размеры такой машины и (или) механизма);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л) масса снаряженной машины и (или) механизма (указывается в тоннах).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11. Материалы, прилагаемые к заявке об актуализации строительного ресурса в </w:t>
      </w:r>
      <w:hyperlink r:id="rId37">
        <w:r>
          <w:rPr>
            <w:color w:val="0000FF"/>
          </w:rPr>
          <w:t>Классификаторе</w:t>
        </w:r>
      </w:hyperlink>
      <w:r>
        <w:t>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а) пояснительная записка, содержащая наименование и код строительного ресурса, информацию о строительном ресурсе, требующую актуализации, обоснование необходимости и целесообразности актуализации строительного ресурса в </w:t>
      </w:r>
      <w:hyperlink r:id="rId38">
        <w:r>
          <w:rPr>
            <w:color w:val="0000FF"/>
          </w:rPr>
          <w:t>Классификаторе</w:t>
        </w:r>
      </w:hyperlink>
      <w:r>
        <w:t xml:space="preserve"> (например, приведение наименования строительного ресурса в соответствие с действующей нормативно-технической </w:t>
      </w:r>
      <w:r>
        <w:lastRenderedPageBreak/>
        <w:t>документацией, однозначная идентификация продукции, производство, ввоз или оптовая реализация которой осуществляются юридическим лицом или индивидуальным предпринимателем, включенным в Перечень лиц, и наименование которой после направления заявки на включение строительного ресурса изменено);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б) актуализированные материалы, предусмотренные </w:t>
      </w:r>
      <w:hyperlink w:anchor="P67">
        <w:r>
          <w:rPr>
            <w:color w:val="0000FF"/>
          </w:rPr>
          <w:t>подпунктами "б"</w:t>
        </w:r>
      </w:hyperlink>
      <w:r>
        <w:t xml:space="preserve">, </w:t>
      </w:r>
      <w:hyperlink w:anchor="P72">
        <w:r>
          <w:rPr>
            <w:color w:val="0000FF"/>
          </w:rPr>
          <w:t>"г"</w:t>
        </w:r>
      </w:hyperlink>
      <w:r>
        <w:t xml:space="preserve">, </w:t>
      </w:r>
      <w:hyperlink w:anchor="P73">
        <w:r>
          <w:rPr>
            <w:color w:val="0000FF"/>
          </w:rPr>
          <w:t>"д"</w:t>
        </w:r>
      </w:hyperlink>
      <w:r>
        <w:t xml:space="preserve"> и </w:t>
      </w:r>
      <w:hyperlink w:anchor="P75">
        <w:r>
          <w:rPr>
            <w:color w:val="0000FF"/>
          </w:rPr>
          <w:t>"ж" пункта 9</w:t>
        </w:r>
      </w:hyperlink>
      <w:r>
        <w:t xml:space="preserve"> настоящего Порядка.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13" w:name="P101"/>
      <w:bookmarkEnd w:id="13"/>
      <w:r>
        <w:t xml:space="preserve">12. Материалы, прилагаемые к заявке об исключении строительного ресурса из </w:t>
      </w:r>
      <w:hyperlink r:id="rId39">
        <w:r>
          <w:rPr>
            <w:color w:val="0000FF"/>
          </w:rPr>
          <w:t>Классификатора</w:t>
        </w:r>
      </w:hyperlink>
      <w:r>
        <w:t>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а) пояснительная записка, содержащая наименование и код строительного ресурса, требующего исключения из </w:t>
      </w:r>
      <w:hyperlink r:id="rId40">
        <w:r>
          <w:rPr>
            <w:color w:val="0000FF"/>
          </w:rPr>
          <w:t>Классификатора</w:t>
        </w:r>
      </w:hyperlink>
      <w:r>
        <w:t>, обоснование необходимости и целесообразности исключения строительного ресурса из Классификатора (например, приостановка, замена или отмена действия нормативно-технической документации, подтверждение от юридических лиц и индивидуальных предпринимателей, включенных в Перечень лиц, о прекращении производства или ввоза на территорию Российской Федерации соответствующего строительного ресурса);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б) материалы, подтверждающие необходимость и целесообразность исключения строительного ресурса из </w:t>
      </w:r>
      <w:hyperlink r:id="rId41">
        <w:r>
          <w:rPr>
            <w:color w:val="0000FF"/>
          </w:rPr>
          <w:t>Классификатора</w:t>
        </w:r>
      </w:hyperlink>
      <w:r>
        <w:t>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13. Заявка с прилагаемыми к ней материалами представляется в Министерство на бумажном или электронном носителе в открытом формате, обеспечивающем возможность автоматизированной проверки документов, их сохранения на технических средствах и допускающем возможность поиска и копирования произвольного фрагмента текста средствами соответствующей программы для просмотра (в форматах *.</w:t>
      </w:r>
      <w:proofErr w:type="spellStart"/>
      <w:r>
        <w:t>doc</w:t>
      </w:r>
      <w:proofErr w:type="spellEnd"/>
      <w:r>
        <w:t>, *.</w:t>
      </w:r>
      <w:proofErr w:type="spellStart"/>
      <w:r>
        <w:t>docx</w:t>
      </w:r>
      <w:proofErr w:type="spellEnd"/>
      <w:r>
        <w:t>, *.</w:t>
      </w:r>
      <w:proofErr w:type="spellStart"/>
      <w:r>
        <w:t>xls</w:t>
      </w:r>
      <w:proofErr w:type="spellEnd"/>
      <w:r>
        <w:t>, *.</w:t>
      </w:r>
      <w:proofErr w:type="spellStart"/>
      <w:r>
        <w:t>xlsx</w:t>
      </w:r>
      <w:proofErr w:type="spellEnd"/>
      <w:r>
        <w:t>, *.</w:t>
      </w:r>
      <w:proofErr w:type="spellStart"/>
      <w:r>
        <w:t>rtf</w:t>
      </w:r>
      <w:proofErr w:type="spellEnd"/>
      <w:r>
        <w:t>, *.</w:t>
      </w:r>
      <w:proofErr w:type="spellStart"/>
      <w:r>
        <w:t>pdf</w:t>
      </w:r>
      <w:proofErr w:type="spellEnd"/>
      <w:r>
        <w:t xml:space="preserve"> - для документов с текстовым содержанием и в форматах *.</w:t>
      </w:r>
      <w:proofErr w:type="spellStart"/>
      <w:r>
        <w:t>dwg</w:t>
      </w:r>
      <w:proofErr w:type="spellEnd"/>
      <w:r>
        <w:t>, *.</w:t>
      </w:r>
      <w:proofErr w:type="spellStart"/>
      <w:r>
        <w:t>dwx</w:t>
      </w:r>
      <w:proofErr w:type="spellEnd"/>
      <w:r>
        <w:t>, *.</w:t>
      </w:r>
      <w:proofErr w:type="spellStart"/>
      <w:r>
        <w:t>jpg</w:t>
      </w:r>
      <w:proofErr w:type="spellEnd"/>
      <w:r>
        <w:t>, *.</w:t>
      </w:r>
      <w:proofErr w:type="spellStart"/>
      <w:r>
        <w:t>jpeg</w:t>
      </w:r>
      <w:proofErr w:type="spellEnd"/>
      <w:r>
        <w:t>, *.</w:t>
      </w:r>
      <w:proofErr w:type="spellStart"/>
      <w:r>
        <w:t>pdf</w:t>
      </w:r>
      <w:proofErr w:type="spellEnd"/>
      <w:r>
        <w:t xml:space="preserve"> - для документов с графическим содержанием).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14. Заявка с прилагаемыми к ней материалами, представляемая в Министерство на бумажном носителе, подписывается собственноручно заявителем (руководителем заявителя) или представителем заявителя по доверенности, оформленной в соответствии с требованиями законодательства Российской Федерации. Заявка с прилагаемыми к ней материалами должны быть структурированы, содержать их опись.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14" w:name="P106"/>
      <w:bookmarkEnd w:id="14"/>
      <w:r>
        <w:t>15. Заявка с прилагаемыми к ней материалами, представляемая в Министерство на электронном носителе, подписывается с использованием усиленной квалифицированной электронной подписи заявителем (руководителем заявителя) или представителем заявителя по доверенности, оформленной в соответствии с требованиями законодательства Российской Федерации. Заявка с прилагаемыми к ней материалами должны быть структурированы, содержать их опись.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Title"/>
        <w:jc w:val="center"/>
        <w:outlineLvl w:val="1"/>
      </w:pPr>
      <w:r>
        <w:t xml:space="preserve">III. Рассмотрение заявок на включение в </w:t>
      </w:r>
      <w:hyperlink r:id="rId42">
        <w:r>
          <w:rPr>
            <w:color w:val="0000FF"/>
          </w:rPr>
          <w:t>Классификатор</w:t>
        </w:r>
      </w:hyperlink>
      <w:r>
        <w:t>,</w:t>
      </w:r>
    </w:p>
    <w:p w:rsidR="00B67F11" w:rsidRDefault="00B67F11">
      <w:pPr>
        <w:pStyle w:val="ConsPlusTitle"/>
        <w:jc w:val="center"/>
      </w:pPr>
      <w:r>
        <w:t>актуализацию в Классификаторе или исключение</w:t>
      </w:r>
    </w:p>
    <w:p w:rsidR="00B67F11" w:rsidRDefault="00B67F11">
      <w:pPr>
        <w:pStyle w:val="ConsPlusTitle"/>
        <w:jc w:val="center"/>
      </w:pPr>
      <w:r>
        <w:t>из Классификатора строительного ресурса</w:t>
      </w:r>
    </w:p>
    <w:p w:rsidR="00B67F11" w:rsidRDefault="00B67F11">
      <w:pPr>
        <w:pStyle w:val="ConsPlusTitle"/>
        <w:jc w:val="center"/>
      </w:pPr>
      <w:r>
        <w:t>и заключений Учреждения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  <w:bookmarkStart w:id="15" w:name="P113"/>
      <w:bookmarkEnd w:id="15"/>
      <w:r>
        <w:t xml:space="preserve">16. Министерство в течение 7 (семи) рабочих дней с момента поступления заявки с прилагаемыми к ней материалами осуществляет их рассмотрение на предмет комплектности и правильности оформления в соответствии с </w:t>
      </w:r>
      <w:hyperlink w:anchor="P64">
        <w:r>
          <w:rPr>
            <w:color w:val="0000FF"/>
          </w:rPr>
          <w:t>пунктами 8</w:t>
        </w:r>
      </w:hyperlink>
      <w:r>
        <w:t xml:space="preserve"> - </w:t>
      </w:r>
      <w:hyperlink w:anchor="P106">
        <w:r>
          <w:rPr>
            <w:color w:val="0000FF"/>
          </w:rPr>
          <w:t>15</w:t>
        </w:r>
      </w:hyperlink>
      <w:r>
        <w:t xml:space="preserve"> настоящего Порядка.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17. В случае несоответствия заявки с прилагаемыми к ней материалами комплектности и правильности оформления в соответствии с </w:t>
      </w:r>
      <w:hyperlink w:anchor="P64">
        <w:r>
          <w:rPr>
            <w:color w:val="0000FF"/>
          </w:rPr>
          <w:t>пунктами 8</w:t>
        </w:r>
      </w:hyperlink>
      <w:r>
        <w:t xml:space="preserve"> - </w:t>
      </w:r>
      <w:hyperlink w:anchor="P106">
        <w:r>
          <w:rPr>
            <w:color w:val="0000FF"/>
          </w:rPr>
          <w:t>15</w:t>
        </w:r>
      </w:hyperlink>
      <w:r>
        <w:t xml:space="preserve"> настоящего Порядка, такие заявка и прилагаемые к ней материалы в срок, предусмотренный </w:t>
      </w:r>
      <w:hyperlink w:anchor="P113">
        <w:r>
          <w:rPr>
            <w:color w:val="0000FF"/>
          </w:rPr>
          <w:t>пунктом 16</w:t>
        </w:r>
      </w:hyperlink>
      <w:r>
        <w:t xml:space="preserve"> настоящего Порядка, подлежат возврату заявителю без рассмотрения с указанием причины возврата.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lastRenderedPageBreak/>
        <w:t>Заявитель вправе доработать заявку с прилагаемыми к ней материалами и направить их на повторное рассмотрение в Министерство. Повторное рассмотрение заявки с прилагаемыми к ней материалами осуществляется Министерством в соответствии с настоящим Порядком.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16" w:name="P116"/>
      <w:bookmarkEnd w:id="16"/>
      <w:r>
        <w:t xml:space="preserve">18. При соответствии заявки с прилагаемыми к ней материалами комплектности и правильности оформления в соответствии с </w:t>
      </w:r>
      <w:hyperlink w:anchor="P64">
        <w:r>
          <w:rPr>
            <w:color w:val="0000FF"/>
          </w:rPr>
          <w:t>пунктами 8</w:t>
        </w:r>
      </w:hyperlink>
      <w:r>
        <w:t xml:space="preserve"> - </w:t>
      </w:r>
      <w:hyperlink w:anchor="P106">
        <w:r>
          <w:rPr>
            <w:color w:val="0000FF"/>
          </w:rPr>
          <w:t>15</w:t>
        </w:r>
      </w:hyperlink>
      <w:r>
        <w:t xml:space="preserve"> настоящего Порядка, такие заявка и материалы рассматриваются Министерством в течение 30 (тридцати) рабочих дней со дня их поступления.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Срок рассмотрения заявки с прилагаемыми к ней материалами может быть продлен Министерством в исключительных случаях, но не более чем на 30 (тридцать) рабочих дней, о чем Министерство письменно уведомляет заявителя по адресу электронной почты, а в случае отсутствия адреса электронной почты почтовым отправлением, с указанием оснований принятия такого решения.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17" w:name="P118"/>
      <w:bookmarkEnd w:id="17"/>
      <w:r>
        <w:t xml:space="preserve">19. Министерство в течение 12 (двенадцати) рабочих дней со дня поступления заявки с прилагаемыми к ней материалами, при их соответствии комплектности и правильности оформления в соответствии с </w:t>
      </w:r>
      <w:hyperlink w:anchor="P65">
        <w:r>
          <w:rPr>
            <w:color w:val="0000FF"/>
          </w:rPr>
          <w:t>пунктами 9</w:t>
        </w:r>
      </w:hyperlink>
      <w:r>
        <w:t xml:space="preserve"> - </w:t>
      </w:r>
      <w:hyperlink w:anchor="P101">
        <w:r>
          <w:rPr>
            <w:color w:val="0000FF"/>
          </w:rPr>
          <w:t>12</w:t>
        </w:r>
      </w:hyperlink>
      <w:r>
        <w:t xml:space="preserve"> настоящего Порядка, направляет их Учреждению для рассмотрения на предмет наличия (отсутствия) сметного норматива, сведения о котором включены в федеральный реестр сметных нормативов, предусматривающего использование строительного ресурса, и на предмет его синхронизации со сметными нормами и федеральными единичными расценками, в том числе их отдельными составляющими, сведения о которых включены в федеральный реестр сметных нормативов.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20. Учреждение обеспечивает рассмотрение заявки с прилагаемыми к ней материалами в течение 15 (пятнадцати) рабочих дней со дня поступления такой заявки с прилагаемыми материалами от Министерства в соответствии с </w:t>
      </w:r>
      <w:hyperlink w:anchor="P118">
        <w:r>
          <w:rPr>
            <w:color w:val="0000FF"/>
          </w:rPr>
          <w:t>пунктом 19</w:t>
        </w:r>
      </w:hyperlink>
      <w:r>
        <w:t xml:space="preserve"> настоящего Порядка. В рамках рассмотрения заявки с прилагаемыми к ней материалами Учреждением осуществляется: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а) оценка достаточности указанных в заявке сведений о потребительских свойствах и иных характеристиках строительного ресурса для его однозначной идентификации со сметными нормами;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б) оценка необходимости актуализации действующих сметных норм и расценок для возможности использования (применения) строительного ресурса;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в) оценка необходимости </w:t>
      </w:r>
      <w:proofErr w:type="gramStart"/>
      <w:r>
        <w:t>актуализации</w:t>
      </w:r>
      <w:proofErr w:type="gramEnd"/>
      <w:r>
        <w:t xml:space="preserve"> действующих федеральных сметных цен на материалы, изделия, конструкции и оборудование, применяемые в строительстве, и федеральных сметных расценок на эксплуатацию строительных машин и автотранспортных средств;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г) оценка необходимости уточнения единицы измерения строительного ресурса для возможности его применения в сметных нормах.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21. По результатам рассмотрения заявки с прилагаемыми к ней материалами Учреждением в предусмотренный </w:t>
      </w:r>
      <w:hyperlink w:anchor="P118">
        <w:r>
          <w:rPr>
            <w:color w:val="0000FF"/>
          </w:rPr>
          <w:t>пунктом 19</w:t>
        </w:r>
      </w:hyperlink>
      <w:r>
        <w:t xml:space="preserve"> настоящего Порядка срок осуществляется подготовка и направление в Министерство заключения о наличии (отсутствии) сметного норматива, сведения о котором включены в федеральный реестр сметных нормативов, предусматривающего использование строительного ресурса, с одновременным возвратом заявки и прилагаемыми к ней материалами.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18" w:name="P125"/>
      <w:bookmarkEnd w:id="18"/>
      <w:r>
        <w:t xml:space="preserve">22. Не подлежит включению в </w:t>
      </w:r>
      <w:hyperlink r:id="rId43">
        <w:r>
          <w:rPr>
            <w:color w:val="0000FF"/>
          </w:rPr>
          <w:t>Классификатор</w:t>
        </w:r>
      </w:hyperlink>
      <w:r>
        <w:t>, актуализации в Классификаторе строительный ресурс в случае, если по результатам рассмотрения заявки с прилагаемыми к ней материалами Министерством выявлено одно из следующих оснований: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а) заявитель не включен в Перечень лиц, за исключением случаев, когда заявка направляется в соответствии с </w:t>
      </w:r>
      <w:hyperlink r:id="rId44">
        <w:r>
          <w:rPr>
            <w:color w:val="0000FF"/>
          </w:rPr>
          <w:t>пунктом 41</w:t>
        </w:r>
      </w:hyperlink>
      <w:r>
        <w:t xml:space="preserve"> Методики N 314/пр, </w:t>
      </w:r>
      <w:hyperlink r:id="rId45">
        <w:r>
          <w:rPr>
            <w:color w:val="0000FF"/>
          </w:rPr>
          <w:t>пунктом 98</w:t>
        </w:r>
      </w:hyperlink>
      <w:r>
        <w:t xml:space="preserve"> Методики N 326/пр;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lastRenderedPageBreak/>
        <w:t xml:space="preserve">б) отсутствует сметный норматив, сведения о котором включены в федеральный реестр сметных нормативов, предусматривающий использование строительного ресурса (при рассмотрении заявки на включение в </w:t>
      </w:r>
      <w:hyperlink r:id="rId46">
        <w:r>
          <w:rPr>
            <w:color w:val="0000FF"/>
          </w:rPr>
          <w:t>Классификатор</w:t>
        </w:r>
      </w:hyperlink>
      <w:r>
        <w:t>, актуализацию в Классификаторе строительного ресурса);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в) характеристики строительного ресурса не соответствуют требованиям технических регламентов, в том числе санитарно-эпидемиологическим, экологическим требованиям (при рассмотрении заявки на включение в </w:t>
      </w:r>
      <w:hyperlink r:id="rId47">
        <w:r>
          <w:rPr>
            <w:color w:val="0000FF"/>
          </w:rPr>
          <w:t>Классификатор</w:t>
        </w:r>
      </w:hyperlink>
      <w:r>
        <w:t>, актуализацию в Классификаторе строительного ресурса);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г) в </w:t>
      </w:r>
      <w:hyperlink r:id="rId48">
        <w:r>
          <w:rPr>
            <w:color w:val="0000FF"/>
          </w:rPr>
          <w:t>Классификаторе</w:t>
        </w:r>
      </w:hyperlink>
      <w:r>
        <w:t xml:space="preserve"> имеется строительный ресурс с аналогичными характеристиками, сведения о которых сформированы в Классификаторе с учетом требований, установленных в </w:t>
      </w:r>
      <w:hyperlink w:anchor="P54">
        <w:r>
          <w:rPr>
            <w:color w:val="0000FF"/>
          </w:rPr>
          <w:t>пункте 7</w:t>
        </w:r>
      </w:hyperlink>
      <w:r>
        <w:t xml:space="preserve"> настоящего Порядка (при рассмотрении заявки на включение строительного ресурса в Классификатор);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д) в заявке указан ресурс, предусмотренный </w:t>
      </w:r>
      <w:hyperlink w:anchor="P131">
        <w:r>
          <w:rPr>
            <w:color w:val="0000FF"/>
          </w:rPr>
          <w:t>пунктом 23</w:t>
        </w:r>
      </w:hyperlink>
      <w:r>
        <w:t xml:space="preserve"> настоящего Порядка.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19" w:name="P131"/>
      <w:bookmarkEnd w:id="19"/>
      <w:r>
        <w:t xml:space="preserve">23. Не подлежат включению в </w:t>
      </w:r>
      <w:hyperlink r:id="rId49">
        <w:r>
          <w:rPr>
            <w:color w:val="0000FF"/>
          </w:rPr>
          <w:t>Классификатор</w:t>
        </w:r>
      </w:hyperlink>
      <w:r>
        <w:t xml:space="preserve"> следующие ресурсы: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а) ресурсы, имеющие отклонение от нормализованных технических характеристик, а также типоразмеров, предусмотренных государственными и отраслевыми стандартами или техническими условиями, изготавливаемые по особому требованию заказчика (нетиповые (</w:t>
      </w:r>
      <w:proofErr w:type="spellStart"/>
      <w:r>
        <w:t>нестандартизированные</w:t>
      </w:r>
      <w:proofErr w:type="spellEnd"/>
      <w:r>
        <w:t>) ресурсы);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б) ресурсы, изготовленные в разовом порядке, по единичным заказам, применяемые лишь в силу особых технических решений в проекте на строительство (индивидуальное изготовление);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в) ресурсы, снятые с производства.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24. В случае если по результатам рассмотрения заявки с прилагаемыми к ней материалами выявлены основания, предусмотренные </w:t>
      </w:r>
      <w:hyperlink w:anchor="P125">
        <w:r>
          <w:rPr>
            <w:color w:val="0000FF"/>
          </w:rPr>
          <w:t>пунктом 22</w:t>
        </w:r>
      </w:hyperlink>
      <w:r>
        <w:t xml:space="preserve"> настоящего Порядка, Министерство в течение предусмотренного </w:t>
      </w:r>
      <w:hyperlink w:anchor="P116">
        <w:r>
          <w:rPr>
            <w:color w:val="0000FF"/>
          </w:rPr>
          <w:t>пунктом 18</w:t>
        </w:r>
      </w:hyperlink>
      <w:r>
        <w:t xml:space="preserve"> настоящего Порядка срока письменно уведомляет заявителя по адресу электронной почты, а в случае отсутствия адреса электронной почты почтовым отправлением, о том, что строительный ресурс не подлежит включению в </w:t>
      </w:r>
      <w:hyperlink r:id="rId50">
        <w:r>
          <w:rPr>
            <w:color w:val="0000FF"/>
          </w:rPr>
          <w:t>Классификатор</w:t>
        </w:r>
      </w:hyperlink>
      <w:r>
        <w:t>, актуализации в Классификаторе с указанием соответствующего основания.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25. В случае если по результатам рассмотрения заявки с прилагаемыми к ней материалами отсутствуют основания, предусмотренные </w:t>
      </w:r>
      <w:hyperlink w:anchor="P125">
        <w:r>
          <w:rPr>
            <w:color w:val="0000FF"/>
          </w:rPr>
          <w:t>пунктом 22</w:t>
        </w:r>
      </w:hyperlink>
      <w:r>
        <w:t xml:space="preserve"> настоящего Порядка, Министерство в течение предусмотренного </w:t>
      </w:r>
      <w:hyperlink w:anchor="P116">
        <w:r>
          <w:rPr>
            <w:color w:val="0000FF"/>
          </w:rPr>
          <w:t>пунктом 18</w:t>
        </w:r>
      </w:hyperlink>
      <w:r>
        <w:t xml:space="preserve"> настоящего Порядка срока письменно уведомляет заявителя по адресу электронной почты, а в случае отсутствия адреса электронной почты почтовым отправлением, о том, что строительный ресурс подлежит включению в </w:t>
      </w:r>
      <w:hyperlink r:id="rId51">
        <w:r>
          <w:rPr>
            <w:color w:val="0000FF"/>
          </w:rPr>
          <w:t>Классификатор</w:t>
        </w:r>
      </w:hyperlink>
      <w:r>
        <w:t>, актуализации в Классификаторе.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26. В случае если в заявках с прилагаемыми к ним материалами содержатся недостатки технического и (или) редакционного характера, Министерство имеет право самостоятельно устранять данные недостатки, не влияющие на характеристики строительного ресурса.</w:t>
      </w:r>
    </w:p>
    <w:p w:rsidR="00B67F11" w:rsidRDefault="00B67F11">
      <w:pPr>
        <w:pStyle w:val="ConsPlusNormal"/>
        <w:spacing w:before="220"/>
        <w:ind w:firstLine="540"/>
        <w:jc w:val="both"/>
      </w:pPr>
      <w:bookmarkStart w:id="20" w:name="P138"/>
      <w:bookmarkEnd w:id="20"/>
      <w:r>
        <w:t xml:space="preserve">27. Строительный ресурс подлежит исключению Министерством из </w:t>
      </w:r>
      <w:hyperlink r:id="rId52">
        <w:r>
          <w:rPr>
            <w:color w:val="0000FF"/>
          </w:rPr>
          <w:t>Классификатора</w:t>
        </w:r>
      </w:hyperlink>
      <w:r>
        <w:t xml:space="preserve"> в случае непредставления юридическими лицами и индивидуальными предпринимателями, включенными в Перечень лиц, предусмотренной </w:t>
      </w:r>
      <w:hyperlink r:id="rId53">
        <w:r>
          <w:rPr>
            <w:color w:val="0000FF"/>
          </w:rPr>
          <w:t>подпунктами "а"</w:t>
        </w:r>
      </w:hyperlink>
      <w:r>
        <w:t xml:space="preserve">, </w:t>
      </w:r>
      <w:hyperlink r:id="rId54">
        <w:r>
          <w:rPr>
            <w:color w:val="0000FF"/>
          </w:rPr>
          <w:t>"б"</w:t>
        </w:r>
      </w:hyperlink>
      <w:r>
        <w:t xml:space="preserve"> и </w:t>
      </w:r>
      <w:hyperlink r:id="rId55">
        <w:r>
          <w:rPr>
            <w:color w:val="0000FF"/>
          </w:rPr>
          <w:t>"з" пункта 3</w:t>
        </w:r>
      </w:hyperlink>
      <w:r>
        <w:t xml:space="preserve"> Правил мониторинга информации в сроки, установленные </w:t>
      </w:r>
      <w:hyperlink r:id="rId56">
        <w:r>
          <w:rPr>
            <w:color w:val="0000FF"/>
          </w:rPr>
          <w:t>пунктом 18</w:t>
        </w:r>
      </w:hyperlink>
      <w:r>
        <w:t xml:space="preserve"> Правил мониторинга, в течение 1 календарного года со дня включения в </w:t>
      </w:r>
      <w:hyperlink r:id="rId57">
        <w:r>
          <w:rPr>
            <w:color w:val="0000FF"/>
          </w:rPr>
          <w:t>Классификатор</w:t>
        </w:r>
      </w:hyperlink>
      <w:r>
        <w:t>, актуализации в Классификаторе строительного ресурса.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28. При поступлении в Учреждение документов, предусмотренных </w:t>
      </w:r>
      <w:hyperlink w:anchor="P38">
        <w:r>
          <w:rPr>
            <w:color w:val="0000FF"/>
          </w:rPr>
          <w:t>подпунктом "б" пункта 1</w:t>
        </w:r>
      </w:hyperlink>
      <w:r>
        <w:t xml:space="preserve"> настоящего Порядка, Учреждение обеспечивает подготовку и направление в Министерство заключения о целесообразности включения, актуализации строительного ресурса, а также </w:t>
      </w:r>
      <w:r>
        <w:lastRenderedPageBreak/>
        <w:t xml:space="preserve">включает сведения о производителе, импортере или оптовом поставщике строительного ресурса в Перечень лиц в соответствии с </w:t>
      </w:r>
      <w:hyperlink r:id="rId58">
        <w:r>
          <w:rPr>
            <w:color w:val="0000FF"/>
          </w:rPr>
          <w:t>пунктом 13</w:t>
        </w:r>
      </w:hyperlink>
      <w:r>
        <w:t xml:space="preserve"> Правил мониторинга. Заключение о целесообразности включения, актуализации строительного ресурса должно содержать наименование строительного ресурса и предполагаемое место строительного ресурса в </w:t>
      </w:r>
      <w:hyperlink r:id="rId59">
        <w:r>
          <w:rPr>
            <w:color w:val="0000FF"/>
          </w:rPr>
          <w:t>Классификаторе</w:t>
        </w:r>
      </w:hyperlink>
      <w:r>
        <w:t xml:space="preserve"> (книга, часть, раздел, группа) (в случае включения строительного ресурса в Классификатор) или код строительного ресурса (в случае актуализации в Классификаторе строительного ресурса).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Заключение о целесообразности включения, актуализации строительного ресурса направляется в Министерство одновременно с заключением о наличии (отсутствии) сметных нормативов, предусмотренного </w:t>
      </w:r>
      <w:hyperlink r:id="rId60">
        <w:r>
          <w:rPr>
            <w:color w:val="0000FF"/>
          </w:rPr>
          <w:t>пунктом 39</w:t>
        </w:r>
      </w:hyperlink>
      <w:r>
        <w:t xml:space="preserve"> Порядка утверждения сметных нормативов.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29. Включение строительного ресурса в </w:t>
      </w:r>
      <w:hyperlink r:id="rId61">
        <w:r>
          <w:rPr>
            <w:color w:val="0000FF"/>
          </w:rPr>
          <w:t>Классификатор</w:t>
        </w:r>
      </w:hyperlink>
      <w:r>
        <w:t>, актуализация в Классификаторе и (или) исключение из Классификатора осуществляется ежеквартально приказом Министерства.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30. Представленные заявителем в Министерство заявки с прилагаемыми к ней материалами и заключения Учреждения о наличии (отсутствии) сметного норматива, сведения о котором включены в федеральный реестр сметных нормативов, предусматривающего использование строительного ресурса, о целесообразности включения, актуализации строительного ресурса хранятся в Министерстве в течение пяти лет.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>31. Копии заявки с прилагаемыми к ней материалами, находящиеся на хранении в Министерстве, предоставляются заявителю при наличии письменного обращения заявителя.</w:t>
      </w:r>
    </w:p>
    <w:p w:rsidR="00B67F11" w:rsidRDefault="00B67F11">
      <w:pPr>
        <w:pStyle w:val="ConsPlusNormal"/>
        <w:spacing w:before="220"/>
        <w:ind w:firstLine="540"/>
        <w:jc w:val="both"/>
      </w:pPr>
      <w:r>
        <w:t xml:space="preserve">32. В целях устранения недостатков технического и (или) редакционного характера, а также иных изменений, не влияющих на применение сметных нормативов, Министерство вправе в инициативном порядке, в том числе с учетом поступивших предложений Учреждения, принять решение о внесении изменений в </w:t>
      </w:r>
      <w:hyperlink r:id="rId62">
        <w:r>
          <w:rPr>
            <w:color w:val="0000FF"/>
          </w:rPr>
          <w:t>Классификатор</w:t>
        </w:r>
      </w:hyperlink>
      <w:r>
        <w:t>.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jc w:val="right"/>
        <w:outlineLvl w:val="1"/>
      </w:pPr>
      <w:bookmarkStart w:id="21" w:name="P150"/>
      <w:bookmarkEnd w:id="21"/>
      <w:r>
        <w:t>Приложение</w:t>
      </w:r>
    </w:p>
    <w:p w:rsidR="00B67F11" w:rsidRDefault="00B67F11">
      <w:pPr>
        <w:pStyle w:val="ConsPlusNormal"/>
        <w:jc w:val="right"/>
      </w:pPr>
      <w:r>
        <w:t>к Порядку формированию и ведения</w:t>
      </w:r>
    </w:p>
    <w:p w:rsidR="00B67F11" w:rsidRDefault="00B67F11">
      <w:pPr>
        <w:pStyle w:val="ConsPlusNormal"/>
        <w:jc w:val="right"/>
      </w:pPr>
      <w:r>
        <w:t>классификатора строительных ресурсов,</w:t>
      </w:r>
    </w:p>
    <w:p w:rsidR="00B67F11" w:rsidRDefault="00B67F11">
      <w:pPr>
        <w:pStyle w:val="ConsPlusNormal"/>
        <w:jc w:val="right"/>
      </w:pPr>
      <w:r>
        <w:t>утвержденному приказом Министерства</w:t>
      </w:r>
    </w:p>
    <w:p w:rsidR="00B67F11" w:rsidRDefault="00B67F11">
      <w:pPr>
        <w:pStyle w:val="ConsPlusNormal"/>
        <w:jc w:val="right"/>
      </w:pPr>
      <w:r>
        <w:t>строительства и жилищно-коммунального</w:t>
      </w:r>
    </w:p>
    <w:p w:rsidR="00B67F11" w:rsidRDefault="00B67F11">
      <w:pPr>
        <w:pStyle w:val="ConsPlusNormal"/>
        <w:jc w:val="right"/>
      </w:pPr>
      <w:r>
        <w:t>хозяйства Российской Федерации</w:t>
      </w:r>
    </w:p>
    <w:p w:rsidR="00B67F11" w:rsidRDefault="00B67F11">
      <w:pPr>
        <w:pStyle w:val="ConsPlusNormal"/>
        <w:jc w:val="right"/>
      </w:pPr>
      <w:r>
        <w:t>от 28 октября 2020 г. N 651/пр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jc w:val="right"/>
      </w:pPr>
      <w:r>
        <w:t>(рекомендуемые образцы)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nformat"/>
        <w:jc w:val="both"/>
      </w:pPr>
      <w:r>
        <w:t xml:space="preserve">                               Форма заявки</w:t>
      </w:r>
    </w:p>
    <w:p w:rsidR="00B67F11" w:rsidRDefault="00B67F11">
      <w:pPr>
        <w:pStyle w:val="ConsPlusNonformat"/>
        <w:jc w:val="both"/>
      </w:pPr>
      <w:r>
        <w:t xml:space="preserve">              для включения материалов, изделий, конструкций</w:t>
      </w:r>
    </w:p>
    <w:p w:rsidR="00B67F11" w:rsidRDefault="00B67F11">
      <w:pPr>
        <w:pStyle w:val="ConsPlusNonformat"/>
        <w:jc w:val="both"/>
      </w:pPr>
      <w:r>
        <w:t xml:space="preserve">           и оборудования в </w:t>
      </w:r>
      <w:hyperlink r:id="rId63">
        <w:r>
          <w:rPr>
            <w:color w:val="0000FF"/>
          </w:rPr>
          <w:t>классификатор</w:t>
        </w:r>
      </w:hyperlink>
      <w:r>
        <w:t xml:space="preserve"> строительных ресурсов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sectPr w:rsidR="00B67F11" w:rsidSect="00C921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07"/>
        <w:gridCol w:w="850"/>
        <w:gridCol w:w="1304"/>
        <w:gridCol w:w="680"/>
        <w:gridCol w:w="680"/>
        <w:gridCol w:w="964"/>
        <w:gridCol w:w="1027"/>
        <w:gridCol w:w="850"/>
        <w:gridCol w:w="1417"/>
        <w:gridCol w:w="1304"/>
        <w:gridCol w:w="737"/>
        <w:gridCol w:w="737"/>
        <w:gridCol w:w="680"/>
        <w:gridCol w:w="510"/>
        <w:gridCol w:w="680"/>
        <w:gridCol w:w="794"/>
        <w:gridCol w:w="794"/>
      </w:tblGrid>
      <w:tr w:rsidR="00B67F11">
        <w:tc>
          <w:tcPr>
            <w:tcW w:w="567" w:type="dxa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907" w:type="dxa"/>
          </w:tcPr>
          <w:p w:rsidR="00B67F11" w:rsidRDefault="00B67F11">
            <w:pPr>
              <w:pStyle w:val="ConsPlusNormal"/>
              <w:jc w:val="center"/>
            </w:pPr>
            <w:r>
              <w:t xml:space="preserve">Код </w:t>
            </w:r>
            <w:hyperlink r:id="rId64">
              <w:r>
                <w:rPr>
                  <w:color w:val="0000FF"/>
                </w:rPr>
                <w:t>ОКПД2</w:t>
              </w:r>
            </w:hyperlink>
            <w:r>
              <w:t xml:space="preserve"> (9 знаков)</w:t>
            </w:r>
          </w:p>
        </w:tc>
        <w:tc>
          <w:tcPr>
            <w:tcW w:w="850" w:type="dxa"/>
          </w:tcPr>
          <w:p w:rsidR="00B67F11" w:rsidRDefault="00B67F11">
            <w:pPr>
              <w:pStyle w:val="ConsPlusNormal"/>
              <w:jc w:val="center"/>
            </w:pPr>
            <w:r>
              <w:t xml:space="preserve">Наименование строительного ресурса по </w:t>
            </w:r>
            <w:hyperlink r:id="rId65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1304" w:type="dxa"/>
          </w:tcPr>
          <w:p w:rsidR="00B67F11" w:rsidRDefault="00B67F11">
            <w:pPr>
              <w:pStyle w:val="ConsPlusNormal"/>
              <w:jc w:val="center"/>
            </w:pPr>
            <w:r>
              <w:t xml:space="preserve">Предполагаемое место строительного ресурса в </w:t>
            </w:r>
            <w:hyperlink r:id="rId66">
              <w:r>
                <w:rPr>
                  <w:color w:val="0000FF"/>
                </w:rPr>
                <w:t>классификаторе</w:t>
              </w:r>
            </w:hyperlink>
            <w:r>
              <w:t xml:space="preserve"> строительных ресурсов (книга, часть, раздел, группа)</w:t>
            </w:r>
          </w:p>
        </w:tc>
        <w:tc>
          <w:tcPr>
            <w:tcW w:w="680" w:type="dxa"/>
          </w:tcPr>
          <w:p w:rsidR="00B67F11" w:rsidRDefault="00B67F11">
            <w:pPr>
              <w:pStyle w:val="ConsPlusNormal"/>
              <w:jc w:val="center"/>
            </w:pPr>
            <w:r>
              <w:t>Наименование строительного ресурса</w:t>
            </w:r>
          </w:p>
        </w:tc>
        <w:tc>
          <w:tcPr>
            <w:tcW w:w="680" w:type="dxa"/>
          </w:tcPr>
          <w:p w:rsidR="00B67F11" w:rsidRDefault="00B67F11">
            <w:pPr>
              <w:pStyle w:val="ConsPlusNormal"/>
              <w:jc w:val="center"/>
            </w:pPr>
            <w:r>
              <w:t>Единица измерения строительного ресурса</w:t>
            </w:r>
          </w:p>
        </w:tc>
        <w:tc>
          <w:tcPr>
            <w:tcW w:w="964" w:type="dxa"/>
          </w:tcPr>
          <w:p w:rsidR="00B67F11" w:rsidRDefault="00B67F11">
            <w:pPr>
              <w:pStyle w:val="ConsPlusNormal"/>
              <w:jc w:val="center"/>
            </w:pPr>
            <w:r>
              <w:t>Тип, наименование и реквизиты нормативно-технической документации (ГОСТ, ТУ)</w:t>
            </w:r>
          </w:p>
        </w:tc>
        <w:tc>
          <w:tcPr>
            <w:tcW w:w="1027" w:type="dxa"/>
          </w:tcPr>
          <w:p w:rsidR="00B67F11" w:rsidRDefault="00B67F11">
            <w:pPr>
              <w:pStyle w:val="ConsPlusNormal"/>
              <w:jc w:val="center"/>
            </w:pPr>
            <w:r>
              <w:t>Технические параметры и (или) характеристики строительного ресурса</w:t>
            </w:r>
          </w:p>
        </w:tc>
        <w:tc>
          <w:tcPr>
            <w:tcW w:w="850" w:type="dxa"/>
          </w:tcPr>
          <w:p w:rsidR="00B67F11" w:rsidRDefault="00B67F11">
            <w:pPr>
              <w:pStyle w:val="ConsPlusNormal"/>
              <w:jc w:val="center"/>
            </w:pPr>
            <w:r>
              <w:t>Марка, модель или модификация</w:t>
            </w:r>
          </w:p>
        </w:tc>
        <w:tc>
          <w:tcPr>
            <w:tcW w:w="1417" w:type="dxa"/>
          </w:tcPr>
          <w:p w:rsidR="00B67F11" w:rsidRDefault="00B67F11">
            <w:pPr>
              <w:pStyle w:val="ConsPlusNormal"/>
              <w:jc w:val="center"/>
            </w:pPr>
            <w:r>
              <w:t>Наименование, организационно-правовая форма, ИНН производителя (импортера) строительного ресурса</w:t>
            </w:r>
          </w:p>
        </w:tc>
        <w:tc>
          <w:tcPr>
            <w:tcW w:w="1304" w:type="dxa"/>
          </w:tcPr>
          <w:p w:rsidR="00B67F11" w:rsidRDefault="00B67F11">
            <w:pPr>
              <w:pStyle w:val="ConsPlusNormal"/>
              <w:jc w:val="center"/>
            </w:pPr>
            <w:r>
              <w:t>Адрес, телефон и адрес электронной почты производителя (импортера) строительного ресурса</w:t>
            </w:r>
          </w:p>
        </w:tc>
        <w:tc>
          <w:tcPr>
            <w:tcW w:w="737" w:type="dxa"/>
          </w:tcPr>
          <w:p w:rsidR="00B67F11" w:rsidRDefault="00B67F11">
            <w:pPr>
              <w:pStyle w:val="ConsPlusNormal"/>
              <w:jc w:val="center"/>
            </w:pPr>
            <w:r>
              <w:t>Масса нетто за единицу измерения (кг)</w:t>
            </w:r>
          </w:p>
        </w:tc>
        <w:tc>
          <w:tcPr>
            <w:tcW w:w="737" w:type="dxa"/>
          </w:tcPr>
          <w:p w:rsidR="00B67F11" w:rsidRDefault="00B67F11">
            <w:pPr>
              <w:pStyle w:val="ConsPlusNormal"/>
              <w:jc w:val="center"/>
            </w:pPr>
            <w:r>
              <w:t>Масса брутто за единицу измерения (кг)</w:t>
            </w:r>
          </w:p>
        </w:tc>
        <w:tc>
          <w:tcPr>
            <w:tcW w:w="680" w:type="dxa"/>
          </w:tcPr>
          <w:p w:rsidR="00B67F11" w:rsidRDefault="00B67F11">
            <w:pPr>
              <w:pStyle w:val="ConsPlusNormal"/>
              <w:jc w:val="center"/>
            </w:pPr>
            <w:r>
              <w:t>Вид перевозок строительного ресурса</w:t>
            </w:r>
          </w:p>
        </w:tc>
        <w:tc>
          <w:tcPr>
            <w:tcW w:w="510" w:type="dxa"/>
          </w:tcPr>
          <w:p w:rsidR="00B67F11" w:rsidRDefault="00B67F11">
            <w:pPr>
              <w:pStyle w:val="ConsPlusNormal"/>
              <w:jc w:val="center"/>
            </w:pPr>
            <w:r>
              <w:t>Класс груза</w:t>
            </w:r>
          </w:p>
        </w:tc>
        <w:tc>
          <w:tcPr>
            <w:tcW w:w="680" w:type="dxa"/>
          </w:tcPr>
          <w:p w:rsidR="00B67F11" w:rsidRDefault="00B67F11">
            <w:pPr>
              <w:pStyle w:val="ConsPlusNormal"/>
              <w:jc w:val="center"/>
            </w:pPr>
            <w:r>
              <w:t>Наименование основного технического параметра</w:t>
            </w:r>
          </w:p>
        </w:tc>
        <w:tc>
          <w:tcPr>
            <w:tcW w:w="794" w:type="dxa"/>
          </w:tcPr>
          <w:p w:rsidR="00B67F11" w:rsidRDefault="00B67F11">
            <w:pPr>
              <w:pStyle w:val="ConsPlusNormal"/>
              <w:jc w:val="center"/>
            </w:pPr>
            <w:r>
              <w:t>Единица измерения основного технического параметра</w:t>
            </w:r>
          </w:p>
        </w:tc>
        <w:tc>
          <w:tcPr>
            <w:tcW w:w="794" w:type="dxa"/>
          </w:tcPr>
          <w:p w:rsidR="00B67F11" w:rsidRDefault="00B67F11">
            <w:pPr>
              <w:pStyle w:val="ConsPlusNormal"/>
              <w:jc w:val="center"/>
            </w:pPr>
            <w:r>
              <w:t>Значение основного технического параметра</w:t>
            </w:r>
          </w:p>
        </w:tc>
      </w:tr>
      <w:tr w:rsidR="00B67F11">
        <w:tc>
          <w:tcPr>
            <w:tcW w:w="567" w:type="dxa"/>
          </w:tcPr>
          <w:p w:rsidR="00B67F11" w:rsidRDefault="00B67F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67F11" w:rsidRDefault="00B67F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67F11" w:rsidRDefault="00B67F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B67F11" w:rsidRDefault="00B67F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67F11" w:rsidRDefault="00B67F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67F11" w:rsidRDefault="00B67F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B67F11" w:rsidRDefault="00B67F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7" w:type="dxa"/>
          </w:tcPr>
          <w:p w:rsidR="00B67F11" w:rsidRDefault="00B67F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B67F11" w:rsidRDefault="00B67F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B67F11" w:rsidRDefault="00B67F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B67F11" w:rsidRDefault="00B67F1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B67F11" w:rsidRDefault="00B67F1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B67F11" w:rsidRDefault="00B67F1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B67F11" w:rsidRDefault="00B67F1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</w:tcPr>
          <w:p w:rsidR="00B67F11" w:rsidRDefault="00B67F1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B67F11" w:rsidRDefault="00B67F1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67F11" w:rsidRDefault="00B67F1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67F11" w:rsidRDefault="00B67F11">
            <w:pPr>
              <w:pStyle w:val="ConsPlusNormal"/>
              <w:jc w:val="center"/>
            </w:pPr>
            <w:r>
              <w:t>18</w:t>
            </w:r>
          </w:p>
        </w:tc>
      </w:tr>
      <w:tr w:rsidR="00B67F11">
        <w:tc>
          <w:tcPr>
            <w:tcW w:w="56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90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85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30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68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68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96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02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85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41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30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73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73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68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51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68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79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794" w:type="dxa"/>
          </w:tcPr>
          <w:p w:rsidR="00B67F11" w:rsidRDefault="00B67F11">
            <w:pPr>
              <w:pStyle w:val="ConsPlusNormal"/>
            </w:pPr>
          </w:p>
        </w:tc>
      </w:tr>
    </w:tbl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nformat"/>
        <w:jc w:val="both"/>
      </w:pPr>
      <w:r>
        <w:t>Составил: _____________ (Ф.И.О.)</w:t>
      </w: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  <w:r>
        <w:t>Утвердил: _____________ (Ф.И.О.)</w:t>
      </w:r>
    </w:p>
    <w:p w:rsidR="00B67F11" w:rsidRDefault="00B67F11">
      <w:pPr>
        <w:pStyle w:val="ConsPlusNonformat"/>
        <w:jc w:val="both"/>
      </w:pPr>
      <w:r>
        <w:t xml:space="preserve">                    М.П.</w:t>
      </w: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  <w:r>
        <w:t xml:space="preserve">                               Форма заявки</w:t>
      </w:r>
    </w:p>
    <w:p w:rsidR="00B67F11" w:rsidRDefault="00B67F11">
      <w:pPr>
        <w:pStyle w:val="ConsPlusNonformat"/>
        <w:jc w:val="both"/>
      </w:pPr>
      <w:r>
        <w:t xml:space="preserve">             для включения машин и механизмов в </w:t>
      </w:r>
      <w:hyperlink r:id="rId67">
        <w:r>
          <w:rPr>
            <w:color w:val="0000FF"/>
          </w:rPr>
          <w:t>классификатор</w:t>
        </w:r>
      </w:hyperlink>
    </w:p>
    <w:p w:rsidR="00B67F11" w:rsidRDefault="00B67F11">
      <w:pPr>
        <w:pStyle w:val="ConsPlusNonformat"/>
        <w:jc w:val="both"/>
      </w:pPr>
      <w:r>
        <w:t xml:space="preserve">                           строительных ресурсов</w:t>
      </w:r>
    </w:p>
    <w:p w:rsidR="00B67F11" w:rsidRDefault="00B67F1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042"/>
        <w:gridCol w:w="1042"/>
        <w:gridCol w:w="1304"/>
        <w:gridCol w:w="794"/>
        <w:gridCol w:w="1247"/>
        <w:gridCol w:w="1304"/>
        <w:gridCol w:w="737"/>
        <w:gridCol w:w="850"/>
        <w:gridCol w:w="907"/>
        <w:gridCol w:w="907"/>
        <w:gridCol w:w="1304"/>
        <w:gridCol w:w="794"/>
        <w:gridCol w:w="680"/>
        <w:gridCol w:w="794"/>
        <w:gridCol w:w="794"/>
      </w:tblGrid>
      <w:tr w:rsidR="00B67F11">
        <w:tc>
          <w:tcPr>
            <w:tcW w:w="624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1042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t xml:space="preserve">Код </w:t>
            </w:r>
            <w:hyperlink r:id="rId68">
              <w:r>
                <w:rPr>
                  <w:color w:val="0000FF"/>
                </w:rPr>
                <w:t>ОК 034-2014 (КПЕС 2008)</w:t>
              </w:r>
            </w:hyperlink>
            <w:r>
              <w:t xml:space="preserve"> (9 знаков)</w:t>
            </w:r>
          </w:p>
        </w:tc>
        <w:tc>
          <w:tcPr>
            <w:tcW w:w="1042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t xml:space="preserve">Наименование строительного ресурса по </w:t>
            </w:r>
            <w:hyperlink r:id="rId69">
              <w:r>
                <w:rPr>
                  <w:color w:val="0000FF"/>
                </w:rPr>
                <w:t xml:space="preserve">ОК </w:t>
              </w:r>
              <w:r>
                <w:rPr>
                  <w:color w:val="0000FF"/>
                </w:rPr>
                <w:lastRenderedPageBreak/>
                <w:t>034-2014 (КПЕС 2008)</w:t>
              </w:r>
            </w:hyperlink>
            <w:r>
              <w:t xml:space="preserve"> (9 знаков)</w:t>
            </w:r>
          </w:p>
        </w:tc>
        <w:tc>
          <w:tcPr>
            <w:tcW w:w="1304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 xml:space="preserve">Предполагаемое место строительного ресурса в </w:t>
            </w:r>
            <w:hyperlink r:id="rId70">
              <w:r>
                <w:rPr>
                  <w:color w:val="0000FF"/>
                </w:rPr>
                <w:t>классификаторе</w:t>
              </w:r>
            </w:hyperlink>
            <w:r>
              <w:t xml:space="preserve"> </w:t>
            </w:r>
            <w:r>
              <w:lastRenderedPageBreak/>
              <w:t>строительных ресурсов (книга, часть, раздел, группа)</w:t>
            </w:r>
          </w:p>
        </w:tc>
        <w:tc>
          <w:tcPr>
            <w:tcW w:w="794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>Наименование машины, механ</w:t>
            </w:r>
            <w:r>
              <w:lastRenderedPageBreak/>
              <w:t>изма</w:t>
            </w:r>
          </w:p>
        </w:tc>
        <w:tc>
          <w:tcPr>
            <w:tcW w:w="1247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 xml:space="preserve">Наименование, организационно-правовая форма, </w:t>
            </w:r>
            <w:r>
              <w:lastRenderedPageBreak/>
              <w:t>ИНН производителя (импортера) машины, механизма</w:t>
            </w:r>
          </w:p>
        </w:tc>
        <w:tc>
          <w:tcPr>
            <w:tcW w:w="1304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>Адрес, телефон и адрес электронной почты производит</w:t>
            </w:r>
            <w:r>
              <w:lastRenderedPageBreak/>
              <w:t>еля (импортера) машины, механизма</w:t>
            </w:r>
          </w:p>
        </w:tc>
        <w:tc>
          <w:tcPr>
            <w:tcW w:w="737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 xml:space="preserve">Марка базы и рабочего </w:t>
            </w:r>
            <w:r>
              <w:lastRenderedPageBreak/>
              <w:t>органа</w:t>
            </w:r>
          </w:p>
        </w:tc>
        <w:tc>
          <w:tcPr>
            <w:tcW w:w="850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 xml:space="preserve">Марка двигателя, отвечающего за </w:t>
            </w:r>
            <w:r>
              <w:lastRenderedPageBreak/>
              <w:t>рабочий орган машины</w:t>
            </w:r>
          </w:p>
        </w:tc>
        <w:tc>
          <w:tcPr>
            <w:tcW w:w="907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 xml:space="preserve">Мощность двигателя в соответствии с </w:t>
            </w:r>
            <w:r>
              <w:lastRenderedPageBreak/>
              <w:t>технической документацией, кВт</w:t>
            </w:r>
          </w:p>
        </w:tc>
        <w:tc>
          <w:tcPr>
            <w:tcW w:w="907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 xml:space="preserve">Расход энергоносителя в соответствии с </w:t>
            </w:r>
            <w:r>
              <w:lastRenderedPageBreak/>
              <w:t>технической документацией</w:t>
            </w:r>
          </w:p>
        </w:tc>
        <w:tc>
          <w:tcPr>
            <w:tcW w:w="1304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 xml:space="preserve">Тип энергоносителя (дизельное топливо, бензин, </w:t>
            </w:r>
            <w:r>
              <w:lastRenderedPageBreak/>
              <w:t>электроэнергия, сжатый воздух, отсутствует)</w:t>
            </w:r>
          </w:p>
        </w:tc>
        <w:tc>
          <w:tcPr>
            <w:tcW w:w="794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>Объем гидравлической системы, л</w:t>
            </w:r>
          </w:p>
        </w:tc>
        <w:tc>
          <w:tcPr>
            <w:tcW w:w="1474" w:type="dxa"/>
            <w:gridSpan w:val="2"/>
          </w:tcPr>
          <w:p w:rsidR="00B67F11" w:rsidRDefault="00B67F11">
            <w:pPr>
              <w:pStyle w:val="ConsPlusNormal"/>
              <w:jc w:val="center"/>
            </w:pPr>
            <w:r>
              <w:t>Тарифный разряд машинистов</w:t>
            </w:r>
          </w:p>
        </w:tc>
        <w:tc>
          <w:tcPr>
            <w:tcW w:w="794" w:type="dxa"/>
            <w:vMerge w:val="restart"/>
          </w:tcPr>
          <w:p w:rsidR="00B67F11" w:rsidRDefault="00B67F11">
            <w:pPr>
              <w:pStyle w:val="ConsPlusNormal"/>
              <w:jc w:val="center"/>
            </w:pPr>
            <w:r>
              <w:t>Масса машины, механизма в снаря</w:t>
            </w:r>
            <w:r>
              <w:lastRenderedPageBreak/>
              <w:t>жении, т</w:t>
            </w:r>
          </w:p>
        </w:tc>
      </w:tr>
      <w:tr w:rsidR="00B67F11">
        <w:tc>
          <w:tcPr>
            <w:tcW w:w="624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1042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1042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1304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794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1247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1304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737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850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907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907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1304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794" w:type="dxa"/>
            <w:vMerge/>
          </w:tcPr>
          <w:p w:rsidR="00B67F11" w:rsidRDefault="00B67F11">
            <w:pPr>
              <w:pStyle w:val="ConsPlusNormal"/>
            </w:pPr>
          </w:p>
        </w:tc>
        <w:tc>
          <w:tcPr>
            <w:tcW w:w="680" w:type="dxa"/>
          </w:tcPr>
          <w:p w:rsidR="00B67F11" w:rsidRDefault="00B67F11">
            <w:pPr>
              <w:pStyle w:val="ConsPlusNormal"/>
              <w:jc w:val="center"/>
            </w:pPr>
            <w:r>
              <w:t xml:space="preserve">Машинист </w:t>
            </w:r>
            <w:r>
              <w:lastRenderedPageBreak/>
              <w:t>1</w:t>
            </w:r>
          </w:p>
        </w:tc>
        <w:tc>
          <w:tcPr>
            <w:tcW w:w="794" w:type="dxa"/>
          </w:tcPr>
          <w:p w:rsidR="00B67F11" w:rsidRDefault="00B67F11">
            <w:pPr>
              <w:pStyle w:val="ConsPlusNormal"/>
              <w:jc w:val="center"/>
            </w:pPr>
            <w:r>
              <w:lastRenderedPageBreak/>
              <w:t>Машинист N</w:t>
            </w:r>
          </w:p>
        </w:tc>
        <w:tc>
          <w:tcPr>
            <w:tcW w:w="794" w:type="dxa"/>
            <w:vMerge/>
          </w:tcPr>
          <w:p w:rsidR="00B67F11" w:rsidRDefault="00B67F11">
            <w:pPr>
              <w:pStyle w:val="ConsPlusNormal"/>
            </w:pPr>
          </w:p>
        </w:tc>
      </w:tr>
      <w:tr w:rsidR="00B67F11">
        <w:tblPrEx>
          <w:tblBorders>
            <w:insideH w:val="nil"/>
          </w:tblBorders>
        </w:tblPrEx>
        <w:tc>
          <w:tcPr>
            <w:tcW w:w="15124" w:type="dxa"/>
            <w:gridSpan w:val="16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2"/>
              <w:gridCol w:w="116"/>
              <w:gridCol w:w="14706"/>
              <w:gridCol w:w="116"/>
            </w:tblGrid>
            <w:tr w:rsidR="00B67F1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67F11" w:rsidRDefault="00B67F11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67F11" w:rsidRDefault="00B67F11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B67F11" w:rsidRDefault="00B67F11">
                  <w:pPr>
                    <w:pStyle w:val="ConsPlusNormal"/>
                    <w:jc w:val="both"/>
                  </w:pPr>
                  <w:proofErr w:type="spellStart"/>
                  <w:r>
                    <w:rPr>
                      <w:color w:val="392C69"/>
                    </w:rPr>
                    <w:t>КонсультантПлюс</w:t>
                  </w:r>
                  <w:proofErr w:type="spellEnd"/>
                  <w:r>
                    <w:rPr>
                      <w:color w:val="392C69"/>
                    </w:rPr>
                    <w:t>: примечание.</w:t>
                  </w:r>
                </w:p>
                <w:p w:rsidR="00B67F11" w:rsidRDefault="00B67F1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граф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67F11" w:rsidRDefault="00B67F11">
                  <w:pPr>
                    <w:pStyle w:val="ConsPlusNormal"/>
                  </w:pPr>
                </w:p>
              </w:tc>
            </w:tr>
          </w:tbl>
          <w:p w:rsidR="00B67F11" w:rsidRDefault="00B67F11">
            <w:pPr>
              <w:pStyle w:val="ConsPlusNormal"/>
            </w:pPr>
          </w:p>
        </w:tc>
      </w:tr>
      <w:tr w:rsidR="00B67F11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42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42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tcBorders>
              <w:top w:val="nil"/>
            </w:tcBorders>
          </w:tcPr>
          <w:p w:rsidR="00B67F11" w:rsidRDefault="00B67F11">
            <w:pPr>
              <w:pStyle w:val="ConsPlusNormal"/>
              <w:jc w:val="center"/>
            </w:pPr>
            <w:r>
              <w:t>15</w:t>
            </w:r>
          </w:p>
        </w:tc>
      </w:tr>
      <w:tr w:rsidR="00B67F11">
        <w:tc>
          <w:tcPr>
            <w:tcW w:w="62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042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042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30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79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24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30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73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85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90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90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30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79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68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79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794" w:type="dxa"/>
          </w:tcPr>
          <w:p w:rsidR="00B67F11" w:rsidRDefault="00B67F11">
            <w:pPr>
              <w:pStyle w:val="ConsPlusNormal"/>
            </w:pPr>
          </w:p>
        </w:tc>
      </w:tr>
    </w:tbl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nformat"/>
        <w:jc w:val="both"/>
      </w:pPr>
      <w:r>
        <w:t>Составил: _____________ (Ф.И.О.)</w:t>
      </w: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  <w:r>
        <w:t>Утвердил: _____________ (Ф.И.О.)</w:t>
      </w:r>
    </w:p>
    <w:p w:rsidR="00B67F11" w:rsidRDefault="00B67F11">
      <w:pPr>
        <w:pStyle w:val="ConsPlusNonformat"/>
        <w:jc w:val="both"/>
      </w:pPr>
      <w:r>
        <w:t xml:space="preserve">                             М.П.</w:t>
      </w:r>
    </w:p>
    <w:p w:rsidR="00B67F11" w:rsidRDefault="00B67F11">
      <w:pPr>
        <w:pStyle w:val="ConsPlusNormal"/>
        <w:sectPr w:rsidR="00B67F1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  <w:r>
        <w:t xml:space="preserve">                               Форма заявки</w:t>
      </w:r>
    </w:p>
    <w:p w:rsidR="00B67F11" w:rsidRDefault="00B67F11">
      <w:pPr>
        <w:pStyle w:val="ConsPlusNonformat"/>
        <w:jc w:val="both"/>
      </w:pPr>
      <w:r>
        <w:t xml:space="preserve">          на актуализацию строительного ресурса в </w:t>
      </w:r>
      <w:hyperlink r:id="rId71">
        <w:r>
          <w:rPr>
            <w:color w:val="0000FF"/>
          </w:rPr>
          <w:t>классификаторе</w:t>
        </w:r>
      </w:hyperlink>
    </w:p>
    <w:p w:rsidR="00B67F11" w:rsidRDefault="00B67F11">
      <w:pPr>
        <w:pStyle w:val="ConsPlusNonformat"/>
        <w:jc w:val="both"/>
      </w:pPr>
      <w:r>
        <w:t xml:space="preserve">                           строительных ресурсов</w:t>
      </w:r>
    </w:p>
    <w:p w:rsidR="00B67F11" w:rsidRDefault="00B67F1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61"/>
        <w:gridCol w:w="1020"/>
        <w:gridCol w:w="907"/>
        <w:gridCol w:w="964"/>
        <w:gridCol w:w="964"/>
        <w:gridCol w:w="1644"/>
        <w:gridCol w:w="1587"/>
      </w:tblGrid>
      <w:tr w:rsidR="00B67F11">
        <w:tc>
          <w:tcPr>
            <w:tcW w:w="624" w:type="dxa"/>
          </w:tcPr>
          <w:p w:rsidR="00B67F11" w:rsidRDefault="00B67F11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1361" w:type="dxa"/>
          </w:tcPr>
          <w:p w:rsidR="00B67F11" w:rsidRDefault="00B67F11">
            <w:pPr>
              <w:pStyle w:val="ConsPlusNormal"/>
              <w:jc w:val="center"/>
            </w:pPr>
            <w:r>
              <w:t xml:space="preserve">Код строительного ресурса по </w:t>
            </w:r>
            <w:hyperlink r:id="rId72">
              <w:r>
                <w:rPr>
                  <w:color w:val="0000FF"/>
                </w:rPr>
                <w:t>ОКПД2</w:t>
              </w:r>
            </w:hyperlink>
            <w:r>
              <w:t xml:space="preserve"> (9 знаков)</w:t>
            </w:r>
          </w:p>
        </w:tc>
        <w:tc>
          <w:tcPr>
            <w:tcW w:w="1020" w:type="dxa"/>
          </w:tcPr>
          <w:p w:rsidR="00B67F11" w:rsidRDefault="00B67F11">
            <w:pPr>
              <w:pStyle w:val="ConsPlusNormal"/>
              <w:jc w:val="center"/>
            </w:pPr>
            <w:r>
              <w:t xml:space="preserve">Наименование строительного ресурса по </w:t>
            </w:r>
            <w:hyperlink r:id="rId73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907" w:type="dxa"/>
          </w:tcPr>
          <w:p w:rsidR="00B67F11" w:rsidRDefault="00B67F11">
            <w:pPr>
              <w:pStyle w:val="ConsPlusNormal"/>
              <w:jc w:val="center"/>
            </w:pPr>
            <w:r>
              <w:t>Код строительного ресурса</w:t>
            </w:r>
          </w:p>
        </w:tc>
        <w:tc>
          <w:tcPr>
            <w:tcW w:w="964" w:type="dxa"/>
          </w:tcPr>
          <w:p w:rsidR="00B67F11" w:rsidRDefault="00B67F11">
            <w:pPr>
              <w:pStyle w:val="ConsPlusNormal"/>
              <w:jc w:val="center"/>
            </w:pPr>
            <w:r>
              <w:t>Наименование строительного ресурса</w:t>
            </w:r>
          </w:p>
        </w:tc>
        <w:tc>
          <w:tcPr>
            <w:tcW w:w="964" w:type="dxa"/>
          </w:tcPr>
          <w:p w:rsidR="00B67F11" w:rsidRDefault="00B67F11">
            <w:pPr>
              <w:pStyle w:val="ConsPlusNormal"/>
              <w:jc w:val="center"/>
            </w:pPr>
            <w:r>
              <w:t>Единица измерения строительного ресурса</w:t>
            </w:r>
          </w:p>
        </w:tc>
        <w:tc>
          <w:tcPr>
            <w:tcW w:w="1644" w:type="dxa"/>
          </w:tcPr>
          <w:p w:rsidR="00B67F11" w:rsidRDefault="00B67F11">
            <w:pPr>
              <w:pStyle w:val="ConsPlusNormal"/>
              <w:jc w:val="center"/>
            </w:pPr>
            <w:r>
              <w:t>Наименование, организационно-правовая форма, ИНН производителя (импортера) строительного ресурса</w:t>
            </w:r>
          </w:p>
        </w:tc>
        <w:tc>
          <w:tcPr>
            <w:tcW w:w="1587" w:type="dxa"/>
          </w:tcPr>
          <w:p w:rsidR="00B67F11" w:rsidRDefault="00B67F11">
            <w:pPr>
              <w:pStyle w:val="ConsPlusNormal"/>
              <w:jc w:val="center"/>
            </w:pPr>
            <w:r>
              <w:t>Адрес, телефон и адрес электронной почты производителя (импортера) строительного ресурса</w:t>
            </w:r>
          </w:p>
        </w:tc>
      </w:tr>
      <w:tr w:rsidR="00B67F11">
        <w:tc>
          <w:tcPr>
            <w:tcW w:w="624" w:type="dxa"/>
          </w:tcPr>
          <w:p w:rsidR="00B67F11" w:rsidRDefault="00B67F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B67F11" w:rsidRDefault="00B67F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B67F11" w:rsidRDefault="00B67F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67F11" w:rsidRDefault="00B67F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B67F11" w:rsidRDefault="00B67F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B67F11" w:rsidRDefault="00B67F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</w:tcPr>
          <w:p w:rsidR="00B67F11" w:rsidRDefault="00B67F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B67F11" w:rsidRDefault="00B67F11">
            <w:pPr>
              <w:pStyle w:val="ConsPlusNormal"/>
              <w:jc w:val="center"/>
            </w:pPr>
            <w:r>
              <w:t>8</w:t>
            </w:r>
          </w:p>
        </w:tc>
      </w:tr>
      <w:tr w:rsidR="00B67F11">
        <w:tc>
          <w:tcPr>
            <w:tcW w:w="62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361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02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90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96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96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64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587" w:type="dxa"/>
          </w:tcPr>
          <w:p w:rsidR="00B67F11" w:rsidRDefault="00B67F11">
            <w:pPr>
              <w:pStyle w:val="ConsPlusNormal"/>
            </w:pPr>
          </w:p>
        </w:tc>
      </w:tr>
    </w:tbl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nformat"/>
        <w:jc w:val="both"/>
      </w:pPr>
      <w:r>
        <w:t>Составил: _____________ (Ф.И.О.)</w:t>
      </w: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  <w:r>
        <w:t>Утвердил: _____________ (Ф.И.О.)</w:t>
      </w:r>
    </w:p>
    <w:p w:rsidR="00B67F11" w:rsidRDefault="00B67F11">
      <w:pPr>
        <w:pStyle w:val="ConsPlusNonformat"/>
        <w:jc w:val="both"/>
      </w:pPr>
      <w:r>
        <w:t xml:space="preserve">              М.П.</w:t>
      </w: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  <w:r>
        <w:t xml:space="preserve">                               Форма заявки</w:t>
      </w:r>
    </w:p>
    <w:p w:rsidR="00B67F11" w:rsidRDefault="00B67F11">
      <w:pPr>
        <w:pStyle w:val="ConsPlusNonformat"/>
        <w:jc w:val="both"/>
      </w:pPr>
      <w:r>
        <w:t xml:space="preserve">           на исключение строительного ресурса из </w:t>
      </w:r>
      <w:hyperlink r:id="rId74">
        <w:r>
          <w:rPr>
            <w:color w:val="0000FF"/>
          </w:rPr>
          <w:t>классификатора</w:t>
        </w:r>
      </w:hyperlink>
    </w:p>
    <w:p w:rsidR="00B67F11" w:rsidRDefault="00B67F11">
      <w:pPr>
        <w:pStyle w:val="ConsPlusNonformat"/>
        <w:jc w:val="both"/>
      </w:pPr>
      <w:r>
        <w:t xml:space="preserve">                           строительных ресурсов</w:t>
      </w:r>
    </w:p>
    <w:p w:rsidR="00B67F11" w:rsidRDefault="00B67F1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020"/>
        <w:gridCol w:w="1077"/>
        <w:gridCol w:w="1361"/>
        <w:gridCol w:w="2551"/>
        <w:gridCol w:w="2395"/>
      </w:tblGrid>
      <w:tr w:rsidR="00B67F11">
        <w:tc>
          <w:tcPr>
            <w:tcW w:w="624" w:type="dxa"/>
          </w:tcPr>
          <w:p w:rsidR="00B67F11" w:rsidRDefault="00B67F11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1020" w:type="dxa"/>
          </w:tcPr>
          <w:p w:rsidR="00B67F11" w:rsidRDefault="00B67F11">
            <w:pPr>
              <w:pStyle w:val="ConsPlusNormal"/>
              <w:jc w:val="center"/>
            </w:pPr>
            <w:r>
              <w:t>Код строительного ресурса</w:t>
            </w:r>
          </w:p>
        </w:tc>
        <w:tc>
          <w:tcPr>
            <w:tcW w:w="1077" w:type="dxa"/>
          </w:tcPr>
          <w:p w:rsidR="00B67F11" w:rsidRDefault="00B67F11">
            <w:pPr>
              <w:pStyle w:val="ConsPlusNormal"/>
              <w:jc w:val="center"/>
            </w:pPr>
            <w:r>
              <w:t>Наименование строительного ресурса</w:t>
            </w:r>
          </w:p>
        </w:tc>
        <w:tc>
          <w:tcPr>
            <w:tcW w:w="1361" w:type="dxa"/>
          </w:tcPr>
          <w:p w:rsidR="00B67F11" w:rsidRDefault="00B67F11">
            <w:pPr>
              <w:pStyle w:val="ConsPlusNormal"/>
              <w:jc w:val="center"/>
            </w:pPr>
            <w:r>
              <w:t>Единица измерения строительного ресурса</w:t>
            </w:r>
          </w:p>
        </w:tc>
        <w:tc>
          <w:tcPr>
            <w:tcW w:w="2551" w:type="dxa"/>
          </w:tcPr>
          <w:p w:rsidR="00B67F11" w:rsidRDefault="00B67F11">
            <w:pPr>
              <w:pStyle w:val="ConsPlusNormal"/>
              <w:jc w:val="center"/>
            </w:pPr>
            <w:r>
              <w:t>Наименование, организационно-правовая форма, ИНН производителя (импортера) строительного ресурса</w:t>
            </w:r>
          </w:p>
        </w:tc>
        <w:tc>
          <w:tcPr>
            <w:tcW w:w="2395" w:type="dxa"/>
          </w:tcPr>
          <w:p w:rsidR="00B67F11" w:rsidRDefault="00B67F11">
            <w:pPr>
              <w:pStyle w:val="ConsPlusNormal"/>
              <w:jc w:val="center"/>
            </w:pPr>
            <w:r>
              <w:t>Адрес, телефон и адрес электронной почты производителя (импортера) строительного ресурса</w:t>
            </w:r>
          </w:p>
        </w:tc>
      </w:tr>
      <w:tr w:rsidR="00B67F11">
        <w:tc>
          <w:tcPr>
            <w:tcW w:w="624" w:type="dxa"/>
          </w:tcPr>
          <w:p w:rsidR="00B67F11" w:rsidRDefault="00B67F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B67F11" w:rsidRDefault="00B67F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B67F11" w:rsidRDefault="00B67F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B67F11" w:rsidRDefault="00B67F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B67F11" w:rsidRDefault="00B67F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95" w:type="dxa"/>
          </w:tcPr>
          <w:p w:rsidR="00B67F11" w:rsidRDefault="00B67F11">
            <w:pPr>
              <w:pStyle w:val="ConsPlusNormal"/>
              <w:jc w:val="center"/>
            </w:pPr>
            <w:r>
              <w:t>6</w:t>
            </w:r>
          </w:p>
        </w:tc>
      </w:tr>
      <w:tr w:rsidR="00B67F11">
        <w:tc>
          <w:tcPr>
            <w:tcW w:w="624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020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077" w:type="dxa"/>
          </w:tcPr>
          <w:p w:rsidR="00B67F11" w:rsidRDefault="00B67F11">
            <w:pPr>
              <w:pStyle w:val="ConsPlusNormal"/>
            </w:pPr>
          </w:p>
        </w:tc>
        <w:tc>
          <w:tcPr>
            <w:tcW w:w="1361" w:type="dxa"/>
          </w:tcPr>
          <w:p w:rsidR="00B67F11" w:rsidRDefault="00B67F11">
            <w:pPr>
              <w:pStyle w:val="ConsPlusNormal"/>
            </w:pPr>
          </w:p>
        </w:tc>
        <w:tc>
          <w:tcPr>
            <w:tcW w:w="2551" w:type="dxa"/>
          </w:tcPr>
          <w:p w:rsidR="00B67F11" w:rsidRDefault="00B67F11">
            <w:pPr>
              <w:pStyle w:val="ConsPlusNormal"/>
            </w:pPr>
          </w:p>
        </w:tc>
        <w:tc>
          <w:tcPr>
            <w:tcW w:w="2395" w:type="dxa"/>
          </w:tcPr>
          <w:p w:rsidR="00B67F11" w:rsidRDefault="00B67F11">
            <w:pPr>
              <w:pStyle w:val="ConsPlusNormal"/>
            </w:pPr>
          </w:p>
        </w:tc>
      </w:tr>
    </w:tbl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nformat"/>
        <w:jc w:val="both"/>
      </w:pPr>
      <w:r>
        <w:t>Составил: _____________ (Ф.И.О.)</w:t>
      </w:r>
    </w:p>
    <w:p w:rsidR="00B67F11" w:rsidRDefault="00B67F11">
      <w:pPr>
        <w:pStyle w:val="ConsPlusNonformat"/>
        <w:jc w:val="both"/>
      </w:pPr>
    </w:p>
    <w:p w:rsidR="00B67F11" w:rsidRDefault="00B67F11">
      <w:pPr>
        <w:pStyle w:val="ConsPlusNonformat"/>
        <w:jc w:val="both"/>
      </w:pPr>
      <w:r>
        <w:t>Утвердил: _____________ (Ф.И.О.)</w:t>
      </w:r>
    </w:p>
    <w:p w:rsidR="00B67F11" w:rsidRDefault="00B67F11">
      <w:pPr>
        <w:pStyle w:val="ConsPlusNonformat"/>
        <w:jc w:val="both"/>
      </w:pPr>
      <w:r>
        <w:t xml:space="preserve">                    М.П.</w:t>
      </w: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ind w:firstLine="540"/>
        <w:jc w:val="both"/>
      </w:pPr>
    </w:p>
    <w:p w:rsidR="00B67F11" w:rsidRDefault="00B67F1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11"/>
    <w:rsid w:val="00B67F11"/>
    <w:rsid w:val="00D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EDEC5-A5CF-4101-9650-6D6C8A8C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F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67F1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67F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67F1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41135" TargetMode="External"/><Relationship Id="rId21" Type="http://schemas.openxmlformats.org/officeDocument/2006/relationships/hyperlink" Target="https://login.consultant.ru/link/?req=doc&amp;base=LAW&amp;n=462816&amp;dst=100043" TargetMode="External"/><Relationship Id="rId42" Type="http://schemas.openxmlformats.org/officeDocument/2006/relationships/hyperlink" Target="https://login.consultant.ru/link/?req=doc&amp;base=LAW&amp;n=462816&amp;dst=100043" TargetMode="External"/><Relationship Id="rId47" Type="http://schemas.openxmlformats.org/officeDocument/2006/relationships/hyperlink" Target="https://login.consultant.ru/link/?req=doc&amp;base=LAW&amp;n=462816&amp;dst=100043" TargetMode="External"/><Relationship Id="rId63" Type="http://schemas.openxmlformats.org/officeDocument/2006/relationships/hyperlink" Target="https://login.consultant.ru/link/?req=doc&amp;base=LAW&amp;n=462816&amp;dst=100043" TargetMode="External"/><Relationship Id="rId68" Type="http://schemas.openxmlformats.org/officeDocument/2006/relationships/hyperlink" Target="https://login.consultant.ru/link/?req=doc&amp;base=LAW&amp;n=46215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2816&amp;dst=100043" TargetMode="External"/><Relationship Id="rId29" Type="http://schemas.openxmlformats.org/officeDocument/2006/relationships/hyperlink" Target="https://login.consultant.ru/link/?req=doc&amp;base=LAW&amp;n=462816&amp;dst=100043" TargetMode="External"/><Relationship Id="rId11" Type="http://schemas.openxmlformats.org/officeDocument/2006/relationships/hyperlink" Target="https://login.consultant.ru/link/?req=doc&amp;base=LAW&amp;n=462816&amp;dst=100043" TargetMode="External"/><Relationship Id="rId24" Type="http://schemas.openxmlformats.org/officeDocument/2006/relationships/hyperlink" Target="https://login.consultant.ru/link/?req=doc&amp;base=LAW&amp;n=467033" TargetMode="External"/><Relationship Id="rId32" Type="http://schemas.openxmlformats.org/officeDocument/2006/relationships/hyperlink" Target="https://login.consultant.ru/link/?req=doc&amp;base=LAW&amp;n=462816&amp;dst=100043" TargetMode="External"/><Relationship Id="rId37" Type="http://schemas.openxmlformats.org/officeDocument/2006/relationships/hyperlink" Target="https://login.consultant.ru/link/?req=doc&amp;base=LAW&amp;n=462816&amp;dst=100043" TargetMode="External"/><Relationship Id="rId40" Type="http://schemas.openxmlformats.org/officeDocument/2006/relationships/hyperlink" Target="https://login.consultant.ru/link/?req=doc&amp;base=LAW&amp;n=462816&amp;dst=100043" TargetMode="External"/><Relationship Id="rId45" Type="http://schemas.openxmlformats.org/officeDocument/2006/relationships/hyperlink" Target="https://login.consultant.ru/link/?req=doc&amp;base=LAW&amp;n=462148&amp;dst=100306" TargetMode="External"/><Relationship Id="rId53" Type="http://schemas.openxmlformats.org/officeDocument/2006/relationships/hyperlink" Target="https://login.consultant.ru/link/?req=doc&amp;base=LAW&amp;n=459765&amp;dst=100023" TargetMode="External"/><Relationship Id="rId58" Type="http://schemas.openxmlformats.org/officeDocument/2006/relationships/hyperlink" Target="https://login.consultant.ru/link/?req=doc&amp;base=LAW&amp;n=459765&amp;dst=59" TargetMode="External"/><Relationship Id="rId66" Type="http://schemas.openxmlformats.org/officeDocument/2006/relationships/hyperlink" Target="https://login.consultant.ru/link/?req=doc&amp;base=LAW&amp;n=462816&amp;dst=100043" TargetMode="External"/><Relationship Id="rId74" Type="http://schemas.openxmlformats.org/officeDocument/2006/relationships/hyperlink" Target="https://login.consultant.ru/link/?req=doc&amp;base=LAW&amp;n=462816&amp;dst=100043" TargetMode="External"/><Relationship Id="rId5" Type="http://schemas.openxmlformats.org/officeDocument/2006/relationships/hyperlink" Target="https://login.consultant.ru/link/?req=doc&amp;base=LAW&amp;n=450837&amp;dst=1989" TargetMode="External"/><Relationship Id="rId61" Type="http://schemas.openxmlformats.org/officeDocument/2006/relationships/hyperlink" Target="https://login.consultant.ru/link/?req=doc&amp;base=LAW&amp;n=462816&amp;dst=100043" TargetMode="External"/><Relationship Id="rId19" Type="http://schemas.openxmlformats.org/officeDocument/2006/relationships/hyperlink" Target="https://login.consultant.ru/link/?req=doc&amp;base=LAW&amp;n=462816&amp;dst=100043" TargetMode="External"/><Relationship Id="rId14" Type="http://schemas.openxmlformats.org/officeDocument/2006/relationships/hyperlink" Target="https://login.consultant.ru/link/?req=doc&amp;base=LAW&amp;n=462816&amp;dst=100043" TargetMode="External"/><Relationship Id="rId22" Type="http://schemas.openxmlformats.org/officeDocument/2006/relationships/hyperlink" Target="https://login.consultant.ru/link/?req=doc&amp;base=LAW&amp;n=462158" TargetMode="External"/><Relationship Id="rId27" Type="http://schemas.openxmlformats.org/officeDocument/2006/relationships/hyperlink" Target="https://login.consultant.ru/link/?req=doc&amp;base=LAW&amp;n=462816&amp;dst=100043" TargetMode="External"/><Relationship Id="rId30" Type="http://schemas.openxmlformats.org/officeDocument/2006/relationships/hyperlink" Target="https://login.consultant.ru/link/?req=doc&amp;base=LAW&amp;n=462816&amp;dst=100043" TargetMode="External"/><Relationship Id="rId35" Type="http://schemas.openxmlformats.org/officeDocument/2006/relationships/hyperlink" Target="https://login.consultant.ru/link/?req=doc&amp;base=LAW&amp;n=462816&amp;dst=100043" TargetMode="External"/><Relationship Id="rId43" Type="http://schemas.openxmlformats.org/officeDocument/2006/relationships/hyperlink" Target="https://login.consultant.ru/link/?req=doc&amp;base=LAW&amp;n=462816&amp;dst=100043" TargetMode="External"/><Relationship Id="rId48" Type="http://schemas.openxmlformats.org/officeDocument/2006/relationships/hyperlink" Target="https://login.consultant.ru/link/?req=doc&amp;base=LAW&amp;n=462816&amp;dst=100043" TargetMode="External"/><Relationship Id="rId56" Type="http://schemas.openxmlformats.org/officeDocument/2006/relationships/hyperlink" Target="https://login.consultant.ru/link/?req=doc&amp;base=LAW&amp;n=459765&amp;dst=69" TargetMode="External"/><Relationship Id="rId64" Type="http://schemas.openxmlformats.org/officeDocument/2006/relationships/hyperlink" Target="https://login.consultant.ru/link/?req=doc&amp;base=LAW&amp;n=462158" TargetMode="External"/><Relationship Id="rId69" Type="http://schemas.openxmlformats.org/officeDocument/2006/relationships/hyperlink" Target="https://login.consultant.ru/link/?req=doc&amp;base=LAW&amp;n=462158" TargetMode="External"/><Relationship Id="rId8" Type="http://schemas.openxmlformats.org/officeDocument/2006/relationships/hyperlink" Target="https://login.consultant.ru/link/?req=doc&amp;base=LAW&amp;n=462816&amp;dst=100043" TargetMode="External"/><Relationship Id="rId51" Type="http://schemas.openxmlformats.org/officeDocument/2006/relationships/hyperlink" Target="https://login.consultant.ru/link/?req=doc&amp;base=LAW&amp;n=462816&amp;dst=100043" TargetMode="External"/><Relationship Id="rId72" Type="http://schemas.openxmlformats.org/officeDocument/2006/relationships/hyperlink" Target="https://login.consultant.ru/link/?req=doc&amp;base=LAW&amp;n=46215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57278&amp;dst=100079" TargetMode="External"/><Relationship Id="rId17" Type="http://schemas.openxmlformats.org/officeDocument/2006/relationships/hyperlink" Target="https://login.consultant.ru/link/?req=doc&amp;base=LAW&amp;n=462816&amp;dst=100043" TargetMode="External"/><Relationship Id="rId25" Type="http://schemas.openxmlformats.org/officeDocument/2006/relationships/hyperlink" Target="https://login.consultant.ru/link/?req=doc&amp;base=LAW&amp;n=441135" TargetMode="External"/><Relationship Id="rId33" Type="http://schemas.openxmlformats.org/officeDocument/2006/relationships/hyperlink" Target="https://login.consultant.ru/link/?req=doc&amp;base=LAW&amp;n=372899" TargetMode="External"/><Relationship Id="rId38" Type="http://schemas.openxmlformats.org/officeDocument/2006/relationships/hyperlink" Target="https://login.consultant.ru/link/?req=doc&amp;base=LAW&amp;n=462816&amp;dst=100043" TargetMode="External"/><Relationship Id="rId46" Type="http://schemas.openxmlformats.org/officeDocument/2006/relationships/hyperlink" Target="https://login.consultant.ru/link/?req=doc&amp;base=LAW&amp;n=462816&amp;dst=100043" TargetMode="External"/><Relationship Id="rId59" Type="http://schemas.openxmlformats.org/officeDocument/2006/relationships/hyperlink" Target="https://login.consultant.ru/link/?req=doc&amp;base=LAW&amp;n=462816&amp;dst=100043" TargetMode="External"/><Relationship Id="rId67" Type="http://schemas.openxmlformats.org/officeDocument/2006/relationships/hyperlink" Target="https://login.consultant.ru/link/?req=doc&amp;base=LAW&amp;n=462816&amp;dst=100043" TargetMode="External"/><Relationship Id="rId20" Type="http://schemas.openxmlformats.org/officeDocument/2006/relationships/hyperlink" Target="https://login.consultant.ru/link/?req=doc&amp;base=LAW&amp;n=462816&amp;dst=100043" TargetMode="External"/><Relationship Id="rId41" Type="http://schemas.openxmlformats.org/officeDocument/2006/relationships/hyperlink" Target="https://login.consultant.ru/link/?req=doc&amp;base=LAW&amp;n=462816&amp;dst=100043" TargetMode="External"/><Relationship Id="rId54" Type="http://schemas.openxmlformats.org/officeDocument/2006/relationships/hyperlink" Target="https://login.consultant.ru/link/?req=doc&amp;base=LAW&amp;n=459765&amp;dst=100024" TargetMode="External"/><Relationship Id="rId62" Type="http://schemas.openxmlformats.org/officeDocument/2006/relationships/hyperlink" Target="https://login.consultant.ru/link/?req=doc&amp;base=LAW&amp;n=462816&amp;dst=100043" TargetMode="External"/><Relationship Id="rId70" Type="http://schemas.openxmlformats.org/officeDocument/2006/relationships/hyperlink" Target="https://login.consultant.ru/link/?req=doc&amp;base=LAW&amp;n=462816&amp;dst=100043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0837&amp;dst=2013" TargetMode="External"/><Relationship Id="rId15" Type="http://schemas.openxmlformats.org/officeDocument/2006/relationships/hyperlink" Target="https://login.consultant.ru/link/?req=doc&amp;base=LAW&amp;n=463505&amp;dst=100097" TargetMode="External"/><Relationship Id="rId23" Type="http://schemas.openxmlformats.org/officeDocument/2006/relationships/hyperlink" Target="https://login.consultant.ru/link/?req=doc&amp;base=LAW&amp;n=462816&amp;dst=100043" TargetMode="External"/><Relationship Id="rId28" Type="http://schemas.openxmlformats.org/officeDocument/2006/relationships/hyperlink" Target="https://login.consultant.ru/link/?req=doc&amp;base=LAW&amp;n=462816&amp;dst=100043" TargetMode="External"/><Relationship Id="rId36" Type="http://schemas.openxmlformats.org/officeDocument/2006/relationships/hyperlink" Target="https://login.consultant.ru/link/?req=doc&amp;base=LAW&amp;n=462816&amp;dst=100043" TargetMode="External"/><Relationship Id="rId49" Type="http://schemas.openxmlformats.org/officeDocument/2006/relationships/hyperlink" Target="https://login.consultant.ru/link/?req=doc&amp;base=LAW&amp;n=462816&amp;dst=100043" TargetMode="External"/><Relationship Id="rId57" Type="http://schemas.openxmlformats.org/officeDocument/2006/relationships/hyperlink" Target="https://login.consultant.ru/link/?req=doc&amp;base=LAW&amp;n=462816&amp;dst=100043" TargetMode="External"/><Relationship Id="rId10" Type="http://schemas.openxmlformats.org/officeDocument/2006/relationships/hyperlink" Target="https://login.consultant.ru/link/?req=doc&amp;base=LAW&amp;n=459765&amp;dst=42" TargetMode="External"/><Relationship Id="rId31" Type="http://schemas.openxmlformats.org/officeDocument/2006/relationships/hyperlink" Target="https://login.consultant.ru/link/?req=doc&amp;base=LAW&amp;n=462816&amp;dst=100043" TargetMode="External"/><Relationship Id="rId44" Type="http://schemas.openxmlformats.org/officeDocument/2006/relationships/hyperlink" Target="https://login.consultant.ru/link/?req=doc&amp;base=LAW&amp;n=457278&amp;dst=100079" TargetMode="External"/><Relationship Id="rId52" Type="http://schemas.openxmlformats.org/officeDocument/2006/relationships/hyperlink" Target="https://login.consultant.ru/link/?req=doc&amp;base=LAW&amp;n=462816&amp;dst=100043" TargetMode="External"/><Relationship Id="rId60" Type="http://schemas.openxmlformats.org/officeDocument/2006/relationships/hyperlink" Target="https://login.consultant.ru/link/?req=doc&amp;base=LAW&amp;n=463505&amp;dst=100141" TargetMode="External"/><Relationship Id="rId65" Type="http://schemas.openxmlformats.org/officeDocument/2006/relationships/hyperlink" Target="https://login.consultant.ru/link/?req=doc&amp;base=LAW&amp;n=462158" TargetMode="External"/><Relationship Id="rId73" Type="http://schemas.openxmlformats.org/officeDocument/2006/relationships/hyperlink" Target="https://login.consultant.ru/link/?req=doc&amp;base=LAW&amp;n=46215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2816&amp;dst=100043" TargetMode="External"/><Relationship Id="rId13" Type="http://schemas.openxmlformats.org/officeDocument/2006/relationships/hyperlink" Target="https://login.consultant.ru/link/?req=doc&amp;base=LAW&amp;n=462148&amp;dst=100306" TargetMode="External"/><Relationship Id="rId18" Type="http://schemas.openxmlformats.org/officeDocument/2006/relationships/hyperlink" Target="https://login.consultant.ru/link/?req=doc&amp;base=LAW&amp;n=462816&amp;dst=100043" TargetMode="External"/><Relationship Id="rId39" Type="http://schemas.openxmlformats.org/officeDocument/2006/relationships/hyperlink" Target="https://login.consultant.ru/link/?req=doc&amp;base=LAW&amp;n=462816&amp;dst=100043" TargetMode="External"/><Relationship Id="rId34" Type="http://schemas.openxmlformats.org/officeDocument/2006/relationships/hyperlink" Target="https://login.consultant.ru/link/?req=doc&amp;base=LAW&amp;n=462158" TargetMode="External"/><Relationship Id="rId50" Type="http://schemas.openxmlformats.org/officeDocument/2006/relationships/hyperlink" Target="https://login.consultant.ru/link/?req=doc&amp;base=LAW&amp;n=462816&amp;dst=100043" TargetMode="External"/><Relationship Id="rId55" Type="http://schemas.openxmlformats.org/officeDocument/2006/relationships/hyperlink" Target="https://login.consultant.ru/link/?req=doc&amp;base=LAW&amp;n=459765&amp;dst=36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63855&amp;dst=40" TargetMode="External"/><Relationship Id="rId71" Type="http://schemas.openxmlformats.org/officeDocument/2006/relationships/hyperlink" Target="https://login.consultant.ru/link/?req=doc&amp;base=LAW&amp;n=462816&amp;dst=100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5496</Words>
  <Characters>31331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2024-01-19T11:37:00Z</dcterms:created>
  <dcterms:modified xsi:type="dcterms:W3CDTF">2024-01-19T11:37:00Z</dcterms:modified>
</cp:coreProperties>
</file>